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B46DAF" w14:textId="77777777" w:rsidR="00E07C35" w:rsidRPr="00FF71CE" w:rsidRDefault="005B2781">
      <w:pPr>
        <w:spacing w:after="120"/>
        <w:jc w:val="center"/>
        <w:rPr>
          <w:rFonts w:ascii="PP Gatwick" w:hAnsi="PP Gatwick" w:cs="Open Sans"/>
        </w:rPr>
      </w:pPr>
      <w:r w:rsidRPr="00FF71CE">
        <w:rPr>
          <w:rFonts w:ascii="PP Gatwick" w:hAnsi="PP Gatwick" w:cs="Open Sans"/>
          <w:b/>
          <w:bCs/>
          <w:color w:val="196B24" w:themeColor="accent3"/>
          <w:sz w:val="44"/>
          <w:szCs w:val="44"/>
        </w:rPr>
        <w:t>ESG Eszköztár</w:t>
      </w:r>
    </w:p>
    <w:p w14:paraId="2AE09CC1" w14:textId="77777777" w:rsidR="00E07C35" w:rsidRPr="00FF71CE" w:rsidRDefault="005B2781" w:rsidP="78D43160">
      <w:pPr>
        <w:spacing w:after="80"/>
        <w:jc w:val="center"/>
        <w:rPr>
          <w:rFonts w:ascii="Open Sans" w:hAnsi="Open Sans" w:cs="Open Sans"/>
          <w:b/>
          <w:color w:val="196B24" w:themeColor="accent3"/>
          <w:sz w:val="28"/>
          <w:szCs w:val="28"/>
        </w:rPr>
      </w:pPr>
      <w:r w:rsidRPr="00FF71CE">
        <w:rPr>
          <w:rFonts w:ascii="Open Sans" w:hAnsi="Open Sans" w:cs="Open Sans"/>
          <w:b/>
          <w:color w:val="196B24" w:themeColor="accent3"/>
          <w:sz w:val="28"/>
          <w:szCs w:val="28"/>
        </w:rPr>
        <w:t>Útmutató kis- és középvállalkozások részére</w:t>
      </w:r>
    </w:p>
    <w:p w14:paraId="05EA6B36" w14:textId="77777777" w:rsidR="00E07C35" w:rsidRPr="00FF71CE" w:rsidRDefault="005B2781">
      <w:pPr>
        <w:pBdr>
          <w:bottom w:val="single" w:sz="12" w:space="8" w:color="1F3864"/>
        </w:pBdr>
        <w:spacing w:after="480"/>
        <w:jc w:val="center"/>
        <w:rPr>
          <w:rFonts w:ascii="Open Sans" w:hAnsi="Open Sans" w:cs="Open Sans"/>
        </w:rPr>
      </w:pPr>
      <w:r w:rsidRPr="00FF71CE">
        <w:rPr>
          <w:rFonts w:ascii="Open Sans" w:hAnsi="Open Sans" w:cs="Open Sans"/>
          <w:i/>
          <w:iCs/>
          <w:color w:val="595959"/>
        </w:rPr>
        <w:t>Hat Excel-sablonból álló keretrendszer az ESG-felkészülés első lépéseihez</w:t>
      </w:r>
    </w:p>
    <w:p w14:paraId="0D1FBAF5" w14:textId="77777777" w:rsidR="00E07C35" w:rsidRPr="00FF71CE" w:rsidRDefault="005B2781" w:rsidP="78D43160">
      <w:pPr>
        <w:pStyle w:val="Cmsor1"/>
        <w:rPr>
          <w:rFonts w:ascii="Open Sans" w:hAnsi="Open Sans" w:cs="Open Sans"/>
          <w:color w:val="196B24" w:themeColor="accent3"/>
        </w:rPr>
      </w:pPr>
      <w:r w:rsidRPr="00FF71CE">
        <w:rPr>
          <w:rFonts w:ascii="Open Sans" w:hAnsi="Open Sans" w:cs="Open Sans"/>
          <w:color w:val="196B24" w:themeColor="accent3"/>
        </w:rPr>
        <w:t>1. Bevezető</w:t>
      </w:r>
    </w:p>
    <w:p w14:paraId="1553EF4C" w14:textId="77777777" w:rsidR="00E07C35" w:rsidRPr="00FF71CE" w:rsidRDefault="005B2781">
      <w:pPr>
        <w:spacing w:after="120" w:line="300" w:lineRule="auto"/>
        <w:jc w:val="both"/>
        <w:rPr>
          <w:rFonts w:ascii="Open Sans" w:hAnsi="Open Sans" w:cs="Open Sans"/>
        </w:rPr>
      </w:pPr>
      <w:r w:rsidRPr="00FF71CE">
        <w:rPr>
          <w:rFonts w:ascii="Open Sans" w:hAnsi="Open Sans" w:cs="Open Sans"/>
        </w:rPr>
        <w:t>Az eszköztár célja, hogy kis- és középvállalkozások számára elérhetővé tegyen egy egységes, könnyen használható</w:t>
      </w:r>
      <w:r w:rsidRPr="00FF71CE">
        <w:rPr>
          <w:rFonts w:ascii="Open Sans" w:hAnsi="Open Sans" w:cs="Open Sans"/>
        </w:rPr>
        <w:t xml:space="preserve"> keretrendszert az ESG-felkészülés első lépéseihez. A csomag hat egymásra épülő Excel-sablont tartalmaz, amelyek együttesen lefedik a fenntarthatósági átvilágítás alapvető logikai lépéseit: az érintettek azonosításától a stratégiai cselekvési tervig.</w:t>
      </w:r>
    </w:p>
    <w:p w14:paraId="500FE31E" w14:textId="77777777" w:rsidR="00E07C35" w:rsidRPr="00FF71CE" w:rsidRDefault="005B2781">
      <w:pPr>
        <w:spacing w:after="120" w:line="300" w:lineRule="auto"/>
        <w:jc w:val="both"/>
        <w:rPr>
          <w:rFonts w:ascii="Open Sans" w:hAnsi="Open Sans" w:cs="Open Sans"/>
        </w:rPr>
      </w:pPr>
      <w:r w:rsidRPr="00FF71CE">
        <w:rPr>
          <w:rFonts w:ascii="Open Sans" w:hAnsi="Open Sans" w:cs="Open Sans"/>
        </w:rPr>
        <w:t>A sab</w:t>
      </w:r>
      <w:r w:rsidRPr="00FF71CE">
        <w:rPr>
          <w:rFonts w:ascii="Open Sans" w:hAnsi="Open Sans" w:cs="Open Sans"/>
        </w:rPr>
        <w:t>lonok általános, ágazatfüggetlen keretet adnak. Kialakításukkor arra törekedtünk, hogy önállóan is értelmezhetők legyenek, ugyanakkor nem helyettesítik a részletes, vállalatspecifikus módszertant. Az eszközök a 2023. évi CVIII. törvény (ESG törvény) és a S</w:t>
      </w:r>
      <w:r w:rsidRPr="00FF71CE">
        <w:rPr>
          <w:rFonts w:ascii="Open Sans" w:hAnsi="Open Sans" w:cs="Open Sans"/>
        </w:rPr>
        <w:t>zabályozott Tevékenységek Felügyeleti Hatósága (SZTFH) által kiadott ESG-útmutatók szellemiségét követik, azok rendszerszintű logikájára épülnek.</w:t>
      </w:r>
    </w:p>
    <w:p w14:paraId="76FB1E50" w14:textId="77777777" w:rsidR="00E07C35" w:rsidRPr="00FF71CE" w:rsidRDefault="005B2781" w:rsidP="3BAE7B0F">
      <w:pPr>
        <w:pStyle w:val="Cmsor1"/>
        <w:rPr>
          <w:rFonts w:ascii="Open Sans" w:hAnsi="Open Sans" w:cs="Open Sans"/>
          <w:color w:val="196B24" w:themeColor="accent3"/>
        </w:rPr>
      </w:pPr>
      <w:r w:rsidRPr="00FF71CE">
        <w:rPr>
          <w:rFonts w:ascii="Open Sans" w:hAnsi="Open Sans" w:cs="Open Sans"/>
          <w:color w:val="196B24" w:themeColor="accent3"/>
        </w:rPr>
        <w:t>2. Az eszközök egymásra épülése</w:t>
      </w:r>
    </w:p>
    <w:p w14:paraId="1AC6DB2D" w14:textId="77777777" w:rsidR="00E07C35" w:rsidRPr="00FF71CE" w:rsidRDefault="005B2781">
      <w:pPr>
        <w:spacing w:after="120" w:line="300" w:lineRule="auto"/>
        <w:jc w:val="both"/>
        <w:rPr>
          <w:rFonts w:ascii="Open Sans" w:hAnsi="Open Sans" w:cs="Open Sans"/>
        </w:rPr>
      </w:pPr>
      <w:r w:rsidRPr="00FF71CE">
        <w:rPr>
          <w:rFonts w:ascii="Open Sans" w:hAnsi="Open Sans" w:cs="Open Sans"/>
        </w:rPr>
        <w:t>A hat sablon egy hat lépéses folyamat mentén halad: az első négy eszköz a jelenlegi helyzet feltérképezésére szolgál</w:t>
      </w:r>
      <w:r w:rsidRPr="00FF71CE">
        <w:rPr>
          <w:rFonts w:ascii="Open Sans" w:hAnsi="Open Sans" w:cs="Open Sans"/>
        </w:rPr>
        <w:t xml:space="preserve"> („hol tartunk”), az utolsó kettő pedig a jövőbeli cselekvésre („hová tartunk”). Az egyes lépések kimenetei a következő lépés bemeneteit adják, ezért a javasolt sorrend betartása fontos.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3"/>
        <w:gridCol w:w="2364"/>
        <w:gridCol w:w="3225"/>
        <w:gridCol w:w="2738"/>
      </w:tblGrid>
      <w:tr w:rsidR="00E07C35" w:rsidRPr="00FF71CE" w14:paraId="6E16E86E" w14:textId="77777777" w:rsidTr="00FF71CE">
        <w:trPr>
          <w:tblHeader/>
        </w:trPr>
        <w:tc>
          <w:tcPr>
            <w:tcW w:w="10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196B24" w:themeFill="accent3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9D3076A" w14:textId="77777777" w:rsidR="00E07C35" w:rsidRPr="00FF71CE" w:rsidRDefault="005B2781">
            <w:pPr>
              <w:jc w:val="center"/>
              <w:rPr>
                <w:rFonts w:ascii="Open Sans" w:hAnsi="Open Sans" w:cs="Open Sans"/>
              </w:rPr>
            </w:pPr>
            <w:r w:rsidRPr="00FF71CE">
              <w:rPr>
                <w:rFonts w:ascii="Open Sans" w:hAnsi="Open Sans" w:cs="Open Sans"/>
                <w:b/>
                <w:bCs/>
                <w:color w:val="FFFFFF"/>
                <w:sz w:val="20"/>
                <w:szCs w:val="20"/>
              </w:rPr>
              <w:t>Sorrend</w:t>
            </w:r>
          </w:p>
        </w:tc>
        <w:tc>
          <w:tcPr>
            <w:tcW w:w="23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196B24" w:themeFill="accent3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FD064F2" w14:textId="77777777" w:rsidR="00E07C35" w:rsidRPr="00FF71CE" w:rsidRDefault="005B2781">
            <w:pPr>
              <w:rPr>
                <w:rFonts w:ascii="Open Sans" w:hAnsi="Open Sans" w:cs="Open Sans"/>
              </w:rPr>
            </w:pPr>
            <w:r w:rsidRPr="00FF71CE">
              <w:rPr>
                <w:rFonts w:ascii="Open Sans" w:hAnsi="Open Sans" w:cs="Open Sans"/>
                <w:b/>
                <w:bCs/>
                <w:color w:val="FFFFFF"/>
                <w:sz w:val="20"/>
                <w:szCs w:val="20"/>
              </w:rPr>
              <w:t>Eszköz</w:t>
            </w:r>
          </w:p>
        </w:tc>
        <w:tc>
          <w:tcPr>
            <w:tcW w:w="32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196B24" w:themeFill="accent3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8BD5FEC" w14:textId="77777777" w:rsidR="00E07C35" w:rsidRPr="00FF71CE" w:rsidRDefault="005B2781">
            <w:pPr>
              <w:rPr>
                <w:rFonts w:ascii="Open Sans" w:hAnsi="Open Sans" w:cs="Open Sans"/>
              </w:rPr>
            </w:pPr>
            <w:r w:rsidRPr="00FF71CE">
              <w:rPr>
                <w:rFonts w:ascii="Open Sans" w:hAnsi="Open Sans" w:cs="Open Sans"/>
                <w:b/>
                <w:bCs/>
                <w:color w:val="FFFFFF"/>
                <w:sz w:val="20"/>
                <w:szCs w:val="20"/>
              </w:rPr>
              <w:t>Fő kérdés</w:t>
            </w:r>
          </w:p>
        </w:tc>
        <w:tc>
          <w:tcPr>
            <w:tcW w:w="27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196B24" w:themeFill="accent3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415A991" w14:textId="77777777" w:rsidR="00E07C35" w:rsidRPr="00FF71CE" w:rsidRDefault="005B2781">
            <w:pPr>
              <w:rPr>
                <w:rFonts w:ascii="Open Sans" w:hAnsi="Open Sans" w:cs="Open Sans"/>
              </w:rPr>
            </w:pPr>
            <w:r w:rsidRPr="00FF71CE">
              <w:rPr>
                <w:rFonts w:ascii="Open Sans" w:hAnsi="Open Sans" w:cs="Open Sans"/>
                <w:b/>
                <w:bCs/>
                <w:color w:val="FFFFFF"/>
                <w:sz w:val="20"/>
                <w:szCs w:val="20"/>
              </w:rPr>
              <w:t>Kimenet</w:t>
            </w:r>
          </w:p>
        </w:tc>
      </w:tr>
      <w:tr w:rsidR="00E07C35" w:rsidRPr="00FF71CE" w14:paraId="3D6157D6" w14:textId="77777777" w:rsidTr="00FF71CE">
        <w:tc>
          <w:tcPr>
            <w:tcW w:w="10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FDFAC1C" w14:textId="77777777" w:rsidR="00E07C35" w:rsidRPr="00FF71CE" w:rsidRDefault="005B2781">
            <w:pPr>
              <w:jc w:val="center"/>
              <w:rPr>
                <w:rFonts w:ascii="Open Sans" w:hAnsi="Open Sans" w:cs="Open Sans"/>
              </w:rPr>
            </w:pPr>
            <w:r w:rsidRPr="00FF71CE">
              <w:rPr>
                <w:rFonts w:ascii="Open Sans" w:hAnsi="Open Sans" w:cs="Open Sans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3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2DA9A98" w14:textId="0642F140" w:rsidR="00E07C35" w:rsidRPr="00FF71CE" w:rsidRDefault="00EB5F1C">
            <w:pPr>
              <w:rPr>
                <w:rFonts w:ascii="Open Sans" w:hAnsi="Open Sans" w:cs="Open Sans"/>
              </w:rPr>
            </w:pPr>
            <w:r w:rsidRPr="00FF71CE">
              <w:rPr>
                <w:rFonts w:ascii="Open Sans" w:hAnsi="Open Sans" w:cs="Open Sans"/>
                <w:b/>
                <w:bCs/>
                <w:sz w:val="20"/>
                <w:szCs w:val="20"/>
              </w:rPr>
              <w:t>Stakeholder térkép</w:t>
            </w:r>
          </w:p>
        </w:tc>
        <w:tc>
          <w:tcPr>
            <w:tcW w:w="32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7698CC3" w14:textId="77777777" w:rsidR="00E07C35" w:rsidRPr="00FF71CE" w:rsidRDefault="005B2781">
            <w:pPr>
              <w:rPr>
                <w:rFonts w:ascii="Open Sans" w:hAnsi="Open Sans" w:cs="Open Sans"/>
              </w:rPr>
            </w:pPr>
            <w:r w:rsidRPr="00FF71CE">
              <w:rPr>
                <w:rFonts w:ascii="Open Sans" w:hAnsi="Open Sans" w:cs="Open Sans"/>
                <w:sz w:val="20"/>
                <w:szCs w:val="20"/>
              </w:rPr>
              <w:t xml:space="preserve">Kikre kell </w:t>
            </w:r>
            <w:r w:rsidRPr="00FF71CE">
              <w:rPr>
                <w:rFonts w:ascii="Open Sans" w:hAnsi="Open Sans" w:cs="Open Sans"/>
                <w:sz w:val="20"/>
                <w:szCs w:val="20"/>
              </w:rPr>
              <w:t>figyelnünk?</w:t>
            </w:r>
          </w:p>
        </w:tc>
        <w:tc>
          <w:tcPr>
            <w:tcW w:w="27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74A02FD" w14:textId="77777777" w:rsidR="00E07C35" w:rsidRPr="00FF71CE" w:rsidRDefault="005B2781">
            <w:pPr>
              <w:rPr>
                <w:rFonts w:ascii="Open Sans" w:hAnsi="Open Sans" w:cs="Open Sans"/>
              </w:rPr>
            </w:pPr>
            <w:r w:rsidRPr="00FF71CE">
              <w:rPr>
                <w:rFonts w:ascii="Open Sans" w:hAnsi="Open Sans" w:cs="Open Sans"/>
                <w:sz w:val="20"/>
                <w:szCs w:val="20"/>
              </w:rPr>
              <w:t>Priorizált érintetti lista</w:t>
            </w:r>
          </w:p>
        </w:tc>
      </w:tr>
      <w:tr w:rsidR="00E07C35" w:rsidRPr="00FF71CE" w14:paraId="67562118" w14:textId="77777777" w:rsidTr="00FF71CE">
        <w:tc>
          <w:tcPr>
            <w:tcW w:w="10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A7381DC" w14:textId="77777777" w:rsidR="00E07C35" w:rsidRPr="00FF71CE" w:rsidRDefault="005B2781">
            <w:pPr>
              <w:jc w:val="center"/>
              <w:rPr>
                <w:rFonts w:ascii="Open Sans" w:hAnsi="Open Sans" w:cs="Open Sans"/>
              </w:rPr>
            </w:pPr>
            <w:r w:rsidRPr="00FF71CE">
              <w:rPr>
                <w:rFonts w:ascii="Open Sans" w:hAnsi="Open Sans" w:cs="Open Sans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3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C49BBF3" w14:textId="77777777" w:rsidR="00E07C35" w:rsidRPr="00FF71CE" w:rsidRDefault="005B2781">
            <w:pPr>
              <w:rPr>
                <w:rFonts w:ascii="Open Sans" w:hAnsi="Open Sans" w:cs="Open Sans"/>
              </w:rPr>
            </w:pPr>
            <w:r w:rsidRPr="00FF71CE">
              <w:rPr>
                <w:rFonts w:ascii="Open Sans" w:hAnsi="Open Sans" w:cs="Open Sans"/>
                <w:b/>
                <w:bCs/>
                <w:sz w:val="20"/>
                <w:szCs w:val="20"/>
              </w:rPr>
              <w:t>GAP-analízis</w:t>
            </w:r>
          </w:p>
        </w:tc>
        <w:tc>
          <w:tcPr>
            <w:tcW w:w="32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3BC29C0" w14:textId="77777777" w:rsidR="00E07C35" w:rsidRPr="00FF71CE" w:rsidRDefault="005B2781">
            <w:pPr>
              <w:rPr>
                <w:rFonts w:ascii="Open Sans" w:hAnsi="Open Sans" w:cs="Open Sans"/>
              </w:rPr>
            </w:pPr>
            <w:r w:rsidRPr="00FF71CE">
              <w:rPr>
                <w:rFonts w:ascii="Open Sans" w:hAnsi="Open Sans" w:cs="Open Sans"/>
                <w:sz w:val="20"/>
                <w:szCs w:val="20"/>
              </w:rPr>
              <w:t>Hol állunk most a kívánt állapothoz képest?</w:t>
            </w:r>
          </w:p>
        </w:tc>
        <w:tc>
          <w:tcPr>
            <w:tcW w:w="27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49A87BC" w14:textId="77777777" w:rsidR="00E07C35" w:rsidRPr="00FF71CE" w:rsidRDefault="005B2781">
            <w:pPr>
              <w:rPr>
                <w:rFonts w:ascii="Open Sans" w:hAnsi="Open Sans" w:cs="Open Sans"/>
              </w:rPr>
            </w:pPr>
            <w:r w:rsidRPr="00FF71CE">
              <w:rPr>
                <w:rFonts w:ascii="Open Sans" w:hAnsi="Open Sans" w:cs="Open Sans"/>
                <w:sz w:val="20"/>
                <w:szCs w:val="20"/>
              </w:rPr>
              <w:t>Azonosított hiányterületek</w:t>
            </w:r>
          </w:p>
        </w:tc>
      </w:tr>
      <w:tr w:rsidR="00E07C35" w:rsidRPr="00FF71CE" w14:paraId="5F0C0542" w14:textId="77777777" w:rsidTr="00FF71CE">
        <w:tc>
          <w:tcPr>
            <w:tcW w:w="10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E4081D6" w14:textId="77777777" w:rsidR="00E07C35" w:rsidRPr="00FF71CE" w:rsidRDefault="005B2781">
            <w:pPr>
              <w:jc w:val="center"/>
              <w:rPr>
                <w:rFonts w:ascii="Open Sans" w:hAnsi="Open Sans" w:cs="Open Sans"/>
              </w:rPr>
            </w:pPr>
            <w:r w:rsidRPr="00FF71CE">
              <w:rPr>
                <w:rFonts w:ascii="Open Sans" w:hAnsi="Open Sans" w:cs="Open Sans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3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BC1F311" w14:textId="77777777" w:rsidR="00E07C35" w:rsidRPr="00FF71CE" w:rsidRDefault="005B2781">
            <w:pPr>
              <w:rPr>
                <w:rFonts w:ascii="Open Sans" w:hAnsi="Open Sans" w:cs="Open Sans"/>
              </w:rPr>
            </w:pPr>
            <w:r w:rsidRPr="00FF71CE">
              <w:rPr>
                <w:rFonts w:ascii="Open Sans" w:hAnsi="Open Sans" w:cs="Open Sans"/>
                <w:b/>
                <w:bCs/>
                <w:sz w:val="20"/>
                <w:szCs w:val="20"/>
              </w:rPr>
              <w:t>Kettős lényegességi elemzés</w:t>
            </w:r>
          </w:p>
        </w:tc>
        <w:tc>
          <w:tcPr>
            <w:tcW w:w="32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96A4A0" w14:textId="77777777" w:rsidR="00E07C35" w:rsidRPr="00FF71CE" w:rsidRDefault="005B2781">
            <w:pPr>
              <w:rPr>
                <w:rFonts w:ascii="Open Sans" w:hAnsi="Open Sans" w:cs="Open Sans"/>
              </w:rPr>
            </w:pPr>
            <w:r w:rsidRPr="00FF71CE">
              <w:rPr>
                <w:rFonts w:ascii="Open Sans" w:hAnsi="Open Sans" w:cs="Open Sans"/>
                <w:sz w:val="20"/>
                <w:szCs w:val="20"/>
              </w:rPr>
              <w:t>Mely ESG-témák valóban lényegesek?</w:t>
            </w:r>
          </w:p>
        </w:tc>
        <w:tc>
          <w:tcPr>
            <w:tcW w:w="27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036529D" w14:textId="77777777" w:rsidR="00E07C35" w:rsidRPr="00FF71CE" w:rsidRDefault="005B2781">
            <w:pPr>
              <w:rPr>
                <w:rFonts w:ascii="Open Sans" w:hAnsi="Open Sans" w:cs="Open Sans"/>
              </w:rPr>
            </w:pPr>
            <w:r w:rsidRPr="00FF71CE">
              <w:rPr>
                <w:rFonts w:ascii="Open Sans" w:hAnsi="Open Sans" w:cs="Open Sans"/>
                <w:sz w:val="20"/>
                <w:szCs w:val="20"/>
              </w:rPr>
              <w:t>Lényeges témák rövid listája</w:t>
            </w:r>
          </w:p>
        </w:tc>
      </w:tr>
      <w:tr w:rsidR="00E07C35" w:rsidRPr="00FF71CE" w14:paraId="451B5D3D" w14:textId="77777777" w:rsidTr="00FF71CE">
        <w:tc>
          <w:tcPr>
            <w:tcW w:w="10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B32A5F7" w14:textId="77777777" w:rsidR="00E07C35" w:rsidRPr="00FF71CE" w:rsidRDefault="005B2781">
            <w:pPr>
              <w:jc w:val="center"/>
              <w:rPr>
                <w:rFonts w:ascii="Open Sans" w:hAnsi="Open Sans" w:cs="Open Sans"/>
              </w:rPr>
            </w:pPr>
            <w:r w:rsidRPr="00FF71CE">
              <w:rPr>
                <w:rFonts w:ascii="Open Sans" w:hAnsi="Open Sans" w:cs="Open Sans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3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115F1A4" w14:textId="77777777" w:rsidR="00E07C35" w:rsidRPr="00FF71CE" w:rsidRDefault="005B2781">
            <w:pPr>
              <w:rPr>
                <w:rFonts w:ascii="Open Sans" w:hAnsi="Open Sans" w:cs="Open Sans"/>
              </w:rPr>
            </w:pPr>
            <w:r w:rsidRPr="00FF71CE">
              <w:rPr>
                <w:rFonts w:ascii="Open Sans" w:hAnsi="Open Sans" w:cs="Open Sans"/>
                <w:b/>
                <w:bCs/>
                <w:sz w:val="20"/>
                <w:szCs w:val="20"/>
              </w:rPr>
              <w:t>Kockázatelemzés</w:t>
            </w:r>
          </w:p>
        </w:tc>
        <w:tc>
          <w:tcPr>
            <w:tcW w:w="32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1E3CC44" w14:textId="77777777" w:rsidR="00E07C35" w:rsidRPr="00FF71CE" w:rsidRDefault="005B2781">
            <w:pPr>
              <w:rPr>
                <w:rFonts w:ascii="Open Sans" w:hAnsi="Open Sans" w:cs="Open Sans"/>
              </w:rPr>
            </w:pPr>
            <w:r w:rsidRPr="00FF71CE">
              <w:rPr>
                <w:rFonts w:ascii="Open Sans" w:hAnsi="Open Sans" w:cs="Open Sans"/>
                <w:sz w:val="20"/>
                <w:szCs w:val="20"/>
              </w:rPr>
              <w:t xml:space="preserve">Milyen </w:t>
            </w:r>
            <w:r w:rsidRPr="00FF71CE">
              <w:rPr>
                <w:rFonts w:ascii="Open Sans" w:hAnsi="Open Sans" w:cs="Open Sans"/>
                <w:sz w:val="20"/>
                <w:szCs w:val="20"/>
              </w:rPr>
              <w:t>ESG-kockázatokkal szembesülünk?</w:t>
            </w:r>
          </w:p>
        </w:tc>
        <w:tc>
          <w:tcPr>
            <w:tcW w:w="27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B1FFC35" w14:textId="77777777" w:rsidR="00E07C35" w:rsidRPr="00FF71CE" w:rsidRDefault="005B2781">
            <w:pPr>
              <w:rPr>
                <w:rFonts w:ascii="Open Sans" w:hAnsi="Open Sans" w:cs="Open Sans"/>
              </w:rPr>
            </w:pPr>
            <w:r w:rsidRPr="00FF71CE">
              <w:rPr>
                <w:rFonts w:ascii="Open Sans" w:hAnsi="Open Sans" w:cs="Open Sans"/>
                <w:sz w:val="20"/>
                <w:szCs w:val="20"/>
              </w:rPr>
              <w:t>Priorizált kockázati regiszter</w:t>
            </w:r>
          </w:p>
        </w:tc>
      </w:tr>
      <w:tr w:rsidR="00E07C35" w:rsidRPr="00FF71CE" w14:paraId="6D537C11" w14:textId="77777777" w:rsidTr="00FF71CE">
        <w:tc>
          <w:tcPr>
            <w:tcW w:w="10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5D4BADC" w14:textId="77777777" w:rsidR="00E07C35" w:rsidRPr="00FF71CE" w:rsidRDefault="005B2781">
            <w:pPr>
              <w:jc w:val="center"/>
              <w:rPr>
                <w:rFonts w:ascii="Open Sans" w:hAnsi="Open Sans" w:cs="Open Sans"/>
              </w:rPr>
            </w:pPr>
            <w:r w:rsidRPr="00FF71CE">
              <w:rPr>
                <w:rFonts w:ascii="Open Sans" w:hAnsi="Open Sans" w:cs="Open Sans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3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D1171A0" w14:textId="77777777" w:rsidR="00E07C35" w:rsidRPr="00FF71CE" w:rsidRDefault="005B2781">
            <w:pPr>
              <w:rPr>
                <w:rFonts w:ascii="Open Sans" w:hAnsi="Open Sans" w:cs="Open Sans"/>
              </w:rPr>
            </w:pPr>
            <w:r w:rsidRPr="00FF71CE">
              <w:rPr>
                <w:rFonts w:ascii="Open Sans" w:hAnsi="Open Sans" w:cs="Open Sans"/>
                <w:b/>
                <w:bCs/>
                <w:sz w:val="20"/>
                <w:szCs w:val="20"/>
              </w:rPr>
              <w:t>Célmeghatározás</w:t>
            </w:r>
          </w:p>
        </w:tc>
        <w:tc>
          <w:tcPr>
            <w:tcW w:w="32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140C995" w14:textId="77777777" w:rsidR="00E07C35" w:rsidRPr="00FF71CE" w:rsidRDefault="005B2781">
            <w:pPr>
              <w:rPr>
                <w:rFonts w:ascii="Open Sans" w:hAnsi="Open Sans" w:cs="Open Sans"/>
              </w:rPr>
            </w:pPr>
            <w:r w:rsidRPr="00FF71CE">
              <w:rPr>
                <w:rFonts w:ascii="Open Sans" w:hAnsi="Open Sans" w:cs="Open Sans"/>
                <w:sz w:val="20"/>
                <w:szCs w:val="20"/>
              </w:rPr>
              <w:t>Mit akarunk elérni és mikorra?</w:t>
            </w:r>
          </w:p>
        </w:tc>
        <w:tc>
          <w:tcPr>
            <w:tcW w:w="27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D825DC0" w14:textId="77777777" w:rsidR="00E07C35" w:rsidRPr="00FF71CE" w:rsidRDefault="005B2781">
            <w:pPr>
              <w:rPr>
                <w:rFonts w:ascii="Open Sans" w:hAnsi="Open Sans" w:cs="Open Sans"/>
              </w:rPr>
            </w:pPr>
            <w:r w:rsidRPr="00FF71CE">
              <w:rPr>
                <w:rFonts w:ascii="Open Sans" w:hAnsi="Open Sans" w:cs="Open Sans"/>
                <w:sz w:val="20"/>
                <w:szCs w:val="20"/>
              </w:rPr>
              <w:t>SMART célrendszer KPI-okkal</w:t>
            </w:r>
          </w:p>
        </w:tc>
      </w:tr>
      <w:tr w:rsidR="00E07C35" w:rsidRPr="00FF71CE" w14:paraId="507940E1" w14:textId="77777777" w:rsidTr="00FF71CE">
        <w:tc>
          <w:tcPr>
            <w:tcW w:w="10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6CB98E7" w14:textId="77777777" w:rsidR="00E07C35" w:rsidRPr="00FF71CE" w:rsidRDefault="005B2781">
            <w:pPr>
              <w:jc w:val="center"/>
              <w:rPr>
                <w:rFonts w:ascii="Open Sans" w:hAnsi="Open Sans" w:cs="Open Sans"/>
              </w:rPr>
            </w:pPr>
            <w:r w:rsidRPr="00FF71CE">
              <w:rPr>
                <w:rFonts w:ascii="Open Sans" w:hAnsi="Open Sans" w:cs="Open Sans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23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BB5B228" w14:textId="77777777" w:rsidR="00E07C35" w:rsidRPr="00FF71CE" w:rsidRDefault="005B2781">
            <w:pPr>
              <w:rPr>
                <w:rFonts w:ascii="Open Sans" w:hAnsi="Open Sans" w:cs="Open Sans"/>
              </w:rPr>
            </w:pPr>
            <w:r w:rsidRPr="00FF71CE">
              <w:rPr>
                <w:rFonts w:ascii="Open Sans" w:hAnsi="Open Sans" w:cs="Open Sans"/>
                <w:b/>
                <w:bCs/>
                <w:sz w:val="20"/>
                <w:szCs w:val="20"/>
              </w:rPr>
              <w:t>Stratégia</w:t>
            </w:r>
          </w:p>
        </w:tc>
        <w:tc>
          <w:tcPr>
            <w:tcW w:w="32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4807303" w14:textId="77777777" w:rsidR="00E07C35" w:rsidRPr="00FF71CE" w:rsidRDefault="005B2781">
            <w:pPr>
              <w:rPr>
                <w:rFonts w:ascii="Open Sans" w:hAnsi="Open Sans" w:cs="Open Sans"/>
              </w:rPr>
            </w:pPr>
            <w:r w:rsidRPr="00FF71CE">
              <w:rPr>
                <w:rFonts w:ascii="Open Sans" w:hAnsi="Open Sans" w:cs="Open Sans"/>
                <w:sz w:val="20"/>
                <w:szCs w:val="20"/>
              </w:rPr>
              <w:t>Hogyan érjük el a célokat?</w:t>
            </w:r>
          </w:p>
        </w:tc>
        <w:tc>
          <w:tcPr>
            <w:tcW w:w="27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EC902B3" w14:textId="77777777" w:rsidR="00E07C35" w:rsidRPr="00FF71CE" w:rsidRDefault="005B2781">
            <w:pPr>
              <w:rPr>
                <w:rFonts w:ascii="Open Sans" w:hAnsi="Open Sans" w:cs="Open Sans"/>
              </w:rPr>
            </w:pPr>
            <w:r w:rsidRPr="00FF71CE">
              <w:rPr>
                <w:rFonts w:ascii="Open Sans" w:hAnsi="Open Sans" w:cs="Open Sans"/>
                <w:sz w:val="20"/>
                <w:szCs w:val="20"/>
              </w:rPr>
              <w:t>Stratégiai cselekvési terv</w:t>
            </w:r>
          </w:p>
        </w:tc>
      </w:tr>
    </w:tbl>
    <w:p w14:paraId="56BAC5E3" w14:textId="77777777" w:rsidR="00E07C35" w:rsidRPr="00FF71CE" w:rsidRDefault="00E07C35">
      <w:pPr>
        <w:spacing w:after="240"/>
        <w:rPr>
          <w:rFonts w:ascii="Open Sans" w:hAnsi="Open Sans" w:cs="Open Sans"/>
        </w:rPr>
      </w:pPr>
    </w:p>
    <w:p w14:paraId="5646809C" w14:textId="77777777" w:rsidR="00E07C35" w:rsidRPr="00FF71CE" w:rsidRDefault="005B2781">
      <w:pPr>
        <w:spacing w:after="120" w:line="300" w:lineRule="auto"/>
        <w:jc w:val="both"/>
        <w:rPr>
          <w:rFonts w:ascii="Open Sans" w:hAnsi="Open Sans" w:cs="Open Sans"/>
        </w:rPr>
      </w:pPr>
      <w:r w:rsidRPr="00FF71CE">
        <w:rPr>
          <w:rFonts w:ascii="Open Sans" w:hAnsi="Open Sans" w:cs="Open Sans"/>
        </w:rPr>
        <w:lastRenderedPageBreak/>
        <w:t xml:space="preserve">A sorrend logikája: érintett nélkül nincs </w:t>
      </w:r>
      <w:r w:rsidRPr="00FF71CE">
        <w:rPr>
          <w:rFonts w:ascii="Open Sans" w:hAnsi="Open Sans" w:cs="Open Sans"/>
        </w:rPr>
        <w:t>értelmes lényegességi vizsgálat; lényegesség nélkül a kockázatelemzés szétfolyik; kockázatok és hiányok ismerete nélkül a cél csak jókívánság; célok nélkül a stratégia megvalósíthatatlan. A GAP-analízist és a kettős lényegességi elemzést célszerű párhuzamo</w:t>
      </w:r>
      <w:r w:rsidRPr="00FF71CE">
        <w:rPr>
          <w:rFonts w:ascii="Open Sans" w:hAnsi="Open Sans" w:cs="Open Sans"/>
        </w:rPr>
        <w:t>san végezni, mert egymást megtermékenyítik: a hiányok rámutathatnak lényeges témákra, és a lényeges témák újra megvizsgáltatják velünk a hiányokat.</w:t>
      </w:r>
    </w:p>
    <w:p w14:paraId="69C0D722" w14:textId="77777777" w:rsidR="00E07C35" w:rsidRPr="00FF71CE" w:rsidRDefault="005B2781" w:rsidP="3BAE7B0F">
      <w:pPr>
        <w:pStyle w:val="Cmsor1"/>
        <w:rPr>
          <w:rFonts w:ascii="Open Sans" w:hAnsi="Open Sans" w:cs="Open Sans"/>
          <w:color w:val="196B24" w:themeColor="accent3"/>
        </w:rPr>
      </w:pPr>
      <w:r w:rsidRPr="00FF71CE">
        <w:rPr>
          <w:rFonts w:ascii="Open Sans" w:hAnsi="Open Sans" w:cs="Open Sans"/>
          <w:color w:val="196B24" w:themeColor="accent3"/>
        </w:rPr>
        <w:t>3. A sablonok bemutatása</w:t>
      </w:r>
    </w:p>
    <w:p w14:paraId="260A13DC" w14:textId="77777777" w:rsidR="00E07C35" w:rsidRPr="00FF71CE" w:rsidRDefault="005B2781">
      <w:pPr>
        <w:spacing w:after="120" w:line="300" w:lineRule="auto"/>
        <w:jc w:val="both"/>
        <w:rPr>
          <w:rFonts w:ascii="Open Sans" w:hAnsi="Open Sans" w:cs="Open Sans"/>
        </w:rPr>
      </w:pPr>
      <w:r w:rsidRPr="00FF71CE">
        <w:rPr>
          <w:rFonts w:ascii="Open Sans" w:hAnsi="Open Sans" w:cs="Open Sans"/>
        </w:rPr>
        <w:t>Az alábbiakban a hat eszköz egy-egy rövid leírása található. Minden leírás három el</w:t>
      </w:r>
      <w:r w:rsidRPr="00FF71CE">
        <w:rPr>
          <w:rFonts w:ascii="Open Sans" w:hAnsi="Open Sans" w:cs="Open Sans"/>
        </w:rPr>
        <w:t>emet rögzít: a sablon célját, a kitöltéshez szükséges bemeneteket, valamint a várható kimenetet.</w:t>
      </w:r>
    </w:p>
    <w:p w14:paraId="6BA8B6F6" w14:textId="170EAF30" w:rsidR="00E07C35" w:rsidRPr="00FF71CE" w:rsidRDefault="005B2781" w:rsidP="3BAE7B0F">
      <w:pPr>
        <w:pStyle w:val="Cmsor2"/>
        <w:rPr>
          <w:rFonts w:ascii="Open Sans" w:hAnsi="Open Sans" w:cs="Open Sans"/>
          <w:color w:val="196B24" w:themeColor="accent3"/>
        </w:rPr>
      </w:pPr>
      <w:r w:rsidRPr="00FF71CE">
        <w:rPr>
          <w:rFonts w:ascii="Open Sans" w:hAnsi="Open Sans" w:cs="Open Sans"/>
          <w:color w:val="196B24" w:themeColor="accent3"/>
        </w:rPr>
        <w:t>3.1. Érintetti térkép</w:t>
      </w:r>
      <w:r w:rsidR="00EB163B" w:rsidRPr="00FF71CE">
        <w:rPr>
          <w:rFonts w:ascii="Open Sans" w:hAnsi="Open Sans" w:cs="Open Sans"/>
          <w:color w:val="196B24" w:themeColor="accent3"/>
        </w:rPr>
        <w:t xml:space="preserve"> (Stakeholder elemzés)</w:t>
      </w:r>
    </w:p>
    <w:p w14:paraId="427FE59E" w14:textId="3039DD78" w:rsidR="00E07C35" w:rsidRPr="00FF71CE" w:rsidRDefault="005B2781">
      <w:pPr>
        <w:spacing w:after="120"/>
        <w:jc w:val="both"/>
        <w:rPr>
          <w:rFonts w:ascii="Open Sans" w:hAnsi="Open Sans" w:cs="Open Sans"/>
        </w:rPr>
      </w:pPr>
      <w:r w:rsidRPr="00FF71CE">
        <w:rPr>
          <w:rFonts w:ascii="Open Sans" w:hAnsi="Open Sans" w:cs="Open Sans"/>
          <w:b/>
          <w:bCs/>
        </w:rPr>
        <w:t xml:space="preserve">Cél: </w:t>
      </w:r>
      <w:r w:rsidRPr="00FF71CE">
        <w:rPr>
          <w:rFonts w:ascii="Open Sans" w:hAnsi="Open Sans" w:cs="Open Sans"/>
        </w:rPr>
        <w:t>A vállalkozás belső és külső érintettjeinek (stakeholder-einek) azonosítása, típus szerinti csoportosítása, va</w:t>
      </w:r>
      <w:r w:rsidRPr="00FF71CE">
        <w:rPr>
          <w:rFonts w:ascii="Open Sans" w:hAnsi="Open Sans" w:cs="Open Sans"/>
        </w:rPr>
        <w:t>lamint érdeklődésük és befolyásuk mértékének egyszerű, kétdimenziós értékelése. Az eszköz eredménye egy érdeklődés–befolyás mátrix, amely négy kategóriába sorolja az érintetteket, ezzel priorizálja a velük való foglalkozás módját és intenzitását.</w:t>
      </w:r>
    </w:p>
    <w:p w14:paraId="3F98A7C1" w14:textId="77777777" w:rsidR="00E07C35" w:rsidRPr="00FF71CE" w:rsidRDefault="005B2781">
      <w:pPr>
        <w:spacing w:after="120"/>
        <w:jc w:val="both"/>
        <w:rPr>
          <w:rFonts w:ascii="Open Sans" w:hAnsi="Open Sans" w:cs="Open Sans"/>
        </w:rPr>
      </w:pPr>
      <w:r w:rsidRPr="00FF71CE">
        <w:rPr>
          <w:rFonts w:ascii="Open Sans" w:hAnsi="Open Sans" w:cs="Open Sans"/>
          <w:b/>
          <w:bCs/>
        </w:rPr>
        <w:t>Szükséges</w:t>
      </w:r>
      <w:r w:rsidRPr="00FF71CE">
        <w:rPr>
          <w:rFonts w:ascii="Open Sans" w:hAnsi="Open Sans" w:cs="Open Sans"/>
          <w:b/>
          <w:bCs/>
        </w:rPr>
        <w:t xml:space="preserve"> bemenetek: </w:t>
      </w:r>
      <w:r w:rsidRPr="00FF71CE">
        <w:rPr>
          <w:rFonts w:ascii="Open Sans" w:hAnsi="Open Sans" w:cs="Open Sans"/>
        </w:rPr>
        <w:t>a vállalkozás tulajdonosi és szervezeti struktúrája, fontosabb üzleti partnerei (vevők, beszállítók, szolgáltatók, pénzügyi intézmények), szabályozói és érdekképviseleti környezete, valamint tágabb társadalmi érintettjei (közösség, média, NGO-k</w:t>
      </w:r>
      <w:r w:rsidRPr="00FF71CE">
        <w:rPr>
          <w:rFonts w:ascii="Open Sans" w:hAnsi="Open Sans" w:cs="Open Sans"/>
        </w:rPr>
        <w:t>).</w:t>
      </w:r>
    </w:p>
    <w:p w14:paraId="5E686A48" w14:textId="77777777" w:rsidR="00E07C35" w:rsidRPr="00FF71CE" w:rsidRDefault="005B2781">
      <w:pPr>
        <w:spacing w:after="240"/>
        <w:jc w:val="both"/>
        <w:rPr>
          <w:rFonts w:ascii="Open Sans" w:hAnsi="Open Sans" w:cs="Open Sans"/>
        </w:rPr>
      </w:pPr>
      <w:r w:rsidRPr="00FF71CE">
        <w:rPr>
          <w:rFonts w:ascii="Open Sans" w:hAnsi="Open Sans" w:cs="Open Sans"/>
          <w:b/>
          <w:bCs/>
        </w:rPr>
        <w:t xml:space="preserve">Kimenet: </w:t>
      </w:r>
      <w:r w:rsidRPr="00FF71CE">
        <w:rPr>
          <w:rFonts w:ascii="Open Sans" w:hAnsi="Open Sans" w:cs="Open Sans"/>
        </w:rPr>
        <w:t>kategorizált érintetti lista, amely kiindulási alap a kettős lényegességi elemzéshez és a későbbi érintetti bevonáshoz (párbeszéd, kérdőívezés, konzultáció).</w:t>
      </w:r>
    </w:p>
    <w:p w14:paraId="66C23DD2" w14:textId="77777777" w:rsidR="00E07C35" w:rsidRPr="00FF71CE" w:rsidRDefault="005B2781" w:rsidP="3BAE7B0F">
      <w:pPr>
        <w:pStyle w:val="Cmsor2"/>
        <w:rPr>
          <w:rFonts w:ascii="Open Sans" w:hAnsi="Open Sans" w:cs="Open Sans"/>
          <w:color w:val="196B24" w:themeColor="accent3"/>
        </w:rPr>
      </w:pPr>
      <w:r w:rsidRPr="00FF71CE">
        <w:rPr>
          <w:rFonts w:ascii="Open Sans" w:hAnsi="Open Sans" w:cs="Open Sans"/>
          <w:color w:val="196B24" w:themeColor="accent3"/>
        </w:rPr>
        <w:t>3.2. GAP-analízis (hiányelemzés)</w:t>
      </w:r>
    </w:p>
    <w:p w14:paraId="44CA902F" w14:textId="77777777" w:rsidR="00E07C35" w:rsidRPr="00FF71CE" w:rsidRDefault="005B2781">
      <w:pPr>
        <w:spacing w:after="120"/>
        <w:jc w:val="both"/>
        <w:rPr>
          <w:rFonts w:ascii="Open Sans" w:hAnsi="Open Sans" w:cs="Open Sans"/>
        </w:rPr>
      </w:pPr>
      <w:r w:rsidRPr="00FF71CE">
        <w:rPr>
          <w:rFonts w:ascii="Open Sans" w:hAnsi="Open Sans" w:cs="Open Sans"/>
          <w:b/>
          <w:bCs/>
        </w:rPr>
        <w:t xml:space="preserve">Cél: </w:t>
      </w:r>
      <w:r w:rsidRPr="00FF71CE">
        <w:rPr>
          <w:rFonts w:ascii="Open Sans" w:hAnsi="Open Sans" w:cs="Open Sans"/>
        </w:rPr>
        <w:t xml:space="preserve">A vállalkozás jelenlegi ESG-teljesítményének és </w:t>
      </w:r>
      <w:r w:rsidRPr="00FF71CE">
        <w:rPr>
          <w:rFonts w:ascii="Open Sans" w:hAnsi="Open Sans" w:cs="Open Sans"/>
        </w:rPr>
        <w:t>gyakorlatainak összevetése a kívánt állapottal — legyen az jogszabályi elvárás, ágazati benchmark vagy belső ambíció. A hiányok azonosítása után az eszköz támogatja a javasolt teendők, a nyomon követés és a várható következtetés rögzítését.</w:t>
      </w:r>
    </w:p>
    <w:p w14:paraId="2A0A2E52" w14:textId="4B1561FB" w:rsidR="00E07C35" w:rsidRPr="00FF71CE" w:rsidRDefault="00FF71CE">
      <w:pPr>
        <w:spacing w:after="120"/>
        <w:jc w:val="both"/>
        <w:rPr>
          <w:rFonts w:ascii="Open Sans" w:hAnsi="Open Sans" w:cs="Open Sans"/>
        </w:rPr>
      </w:pPr>
      <w:r>
        <w:rPr>
          <w:rFonts w:ascii="Open Sans" w:hAnsi="Open Sans" w:cs="Open Sans"/>
          <w:b/>
          <w:bCs/>
        </w:rPr>
        <w:t xml:space="preserve">Szükséges </w:t>
      </w:r>
      <w:r w:rsidR="005B2781" w:rsidRPr="00FF71CE">
        <w:rPr>
          <w:rFonts w:ascii="Open Sans" w:hAnsi="Open Sans" w:cs="Open Sans"/>
          <w:b/>
          <w:bCs/>
        </w:rPr>
        <w:t>bemen</w:t>
      </w:r>
      <w:r w:rsidR="005B2781" w:rsidRPr="00FF71CE">
        <w:rPr>
          <w:rFonts w:ascii="Open Sans" w:hAnsi="Open Sans" w:cs="Open Sans"/>
          <w:b/>
          <w:bCs/>
        </w:rPr>
        <w:t xml:space="preserve">etek: </w:t>
      </w:r>
      <w:r w:rsidR="005B2781" w:rsidRPr="00FF71CE">
        <w:rPr>
          <w:rFonts w:ascii="Open Sans" w:hAnsi="Open Sans" w:cs="Open Sans"/>
        </w:rPr>
        <w:t>releváns ESG- és működési területek listája (pl. hulladékgazdálkodás, energia, munkaegészség, adatkezelés, beszerzés), ezek jelenlegi gyakorlatának leírása, valamint a viszonyítási pont (jogszabály, szabvány, iparági gyakorlat, belső cél).</w:t>
      </w:r>
    </w:p>
    <w:p w14:paraId="639FD20F" w14:textId="77777777" w:rsidR="00E07C35" w:rsidRPr="00FF71CE" w:rsidRDefault="005B2781">
      <w:pPr>
        <w:spacing w:after="240"/>
        <w:jc w:val="both"/>
        <w:rPr>
          <w:rFonts w:ascii="Open Sans" w:hAnsi="Open Sans" w:cs="Open Sans"/>
        </w:rPr>
      </w:pPr>
      <w:r w:rsidRPr="00FF71CE">
        <w:rPr>
          <w:rFonts w:ascii="Open Sans" w:hAnsi="Open Sans" w:cs="Open Sans"/>
          <w:b/>
          <w:bCs/>
        </w:rPr>
        <w:t xml:space="preserve">Kimenet: </w:t>
      </w:r>
      <w:r w:rsidRPr="00FF71CE">
        <w:rPr>
          <w:rFonts w:ascii="Open Sans" w:hAnsi="Open Sans" w:cs="Open Sans"/>
        </w:rPr>
        <w:t>s</w:t>
      </w:r>
      <w:r w:rsidRPr="00FF71CE">
        <w:rPr>
          <w:rFonts w:ascii="Open Sans" w:hAnsi="Open Sans" w:cs="Open Sans"/>
        </w:rPr>
        <w:t>trukturált hiányleltár, amely közvetlenül tápot ad mind a kockázatelemzésnek, mind a célmeghatározásnak.</w:t>
      </w:r>
    </w:p>
    <w:p w14:paraId="054A743A" w14:textId="77777777" w:rsidR="00E07C35" w:rsidRPr="00FF71CE" w:rsidRDefault="005B2781" w:rsidP="3BAE7B0F">
      <w:pPr>
        <w:pStyle w:val="Cmsor2"/>
        <w:rPr>
          <w:rFonts w:ascii="Open Sans" w:hAnsi="Open Sans" w:cs="Open Sans"/>
          <w:color w:val="196B24" w:themeColor="accent3"/>
        </w:rPr>
      </w:pPr>
      <w:r w:rsidRPr="00FF71CE">
        <w:rPr>
          <w:rFonts w:ascii="Open Sans" w:hAnsi="Open Sans" w:cs="Open Sans"/>
          <w:color w:val="196B24" w:themeColor="accent3"/>
        </w:rPr>
        <w:t>3.3. Kettős lényegességi elemzés</w:t>
      </w:r>
    </w:p>
    <w:p w14:paraId="14598254" w14:textId="77777777" w:rsidR="00E07C35" w:rsidRPr="00FF71CE" w:rsidRDefault="005B2781">
      <w:pPr>
        <w:spacing w:after="120"/>
        <w:jc w:val="both"/>
        <w:rPr>
          <w:rFonts w:ascii="Open Sans" w:hAnsi="Open Sans" w:cs="Open Sans"/>
        </w:rPr>
      </w:pPr>
      <w:r w:rsidRPr="00FF71CE">
        <w:rPr>
          <w:rFonts w:ascii="Open Sans" w:hAnsi="Open Sans" w:cs="Open Sans"/>
          <w:b/>
          <w:bCs/>
        </w:rPr>
        <w:t xml:space="preserve">Cél: </w:t>
      </w:r>
      <w:r w:rsidRPr="00FF71CE">
        <w:rPr>
          <w:rFonts w:ascii="Open Sans" w:hAnsi="Open Sans" w:cs="Open Sans"/>
        </w:rPr>
        <w:t xml:space="preserve">Annak meghatározása, mely fenntarthatósági témák lényegesek a vállalkozás szempontjából. Az elemzés két irányban </w:t>
      </w:r>
      <w:r w:rsidRPr="00FF71CE">
        <w:rPr>
          <w:rFonts w:ascii="Open Sans" w:hAnsi="Open Sans" w:cs="Open Sans"/>
        </w:rPr>
        <w:t xml:space="preserve">vizsgálja a lényegességet: (i) hatáslényegesség </w:t>
      </w:r>
      <w:r w:rsidRPr="00FF71CE">
        <w:rPr>
          <w:rFonts w:ascii="Open Sans" w:hAnsi="Open Sans" w:cs="Open Sans"/>
        </w:rPr>
        <w:lastRenderedPageBreak/>
        <w:t>— milyen hatással van a vállalkozás a környezetére és a társadalomra (inside-out), és (ii) pénzügyi lényegesség — milyen pénzügyi következménye lehet a vállalkozásra a fenntarthatósági kérdéseknek (outside-in</w:t>
      </w:r>
      <w:r w:rsidRPr="00FF71CE">
        <w:rPr>
          <w:rFonts w:ascii="Open Sans" w:hAnsi="Open Sans" w:cs="Open Sans"/>
        </w:rPr>
        <w:t>). A sablon az EFRAG módszertanát követi, és négy szakaszra tagolja a folyamatot: kontextus, azonosítás, értékelés, riportálás.</w:t>
      </w:r>
    </w:p>
    <w:p w14:paraId="48E99F44" w14:textId="77777777" w:rsidR="00E07C35" w:rsidRPr="00FF71CE" w:rsidRDefault="005B2781">
      <w:pPr>
        <w:spacing w:after="120"/>
        <w:jc w:val="both"/>
        <w:rPr>
          <w:rFonts w:ascii="Open Sans" w:hAnsi="Open Sans" w:cs="Open Sans"/>
        </w:rPr>
      </w:pPr>
      <w:r w:rsidRPr="00FF71CE">
        <w:rPr>
          <w:rFonts w:ascii="Open Sans" w:hAnsi="Open Sans" w:cs="Open Sans"/>
          <w:b/>
          <w:bCs/>
        </w:rPr>
        <w:t xml:space="preserve">Szükséges bemenetek: </w:t>
      </w:r>
      <w:r w:rsidRPr="00FF71CE">
        <w:rPr>
          <w:rFonts w:ascii="Open Sans" w:hAnsi="Open Sans" w:cs="Open Sans"/>
        </w:rPr>
        <w:t>az értéklánc felépítése (upstream, saját működés, downstream), az érintetti térkép kimenete, valamint a vál</w:t>
      </w:r>
      <w:r w:rsidRPr="00FF71CE">
        <w:rPr>
          <w:rFonts w:ascii="Open Sans" w:hAnsi="Open Sans" w:cs="Open Sans"/>
        </w:rPr>
        <w:t>lalkozás által kezdetben releváns ESG-témák hosszúlistája.</w:t>
      </w:r>
    </w:p>
    <w:p w14:paraId="458FC9DF" w14:textId="77777777" w:rsidR="00E07C35" w:rsidRPr="00FF71CE" w:rsidRDefault="005B2781">
      <w:pPr>
        <w:spacing w:after="240"/>
        <w:jc w:val="both"/>
        <w:rPr>
          <w:rFonts w:ascii="Open Sans" w:hAnsi="Open Sans" w:cs="Open Sans"/>
        </w:rPr>
      </w:pPr>
      <w:r w:rsidRPr="00FF71CE">
        <w:rPr>
          <w:rFonts w:ascii="Open Sans" w:hAnsi="Open Sans" w:cs="Open Sans"/>
          <w:b/>
          <w:bCs/>
        </w:rPr>
        <w:t xml:space="preserve">Kimenet: </w:t>
      </w:r>
      <w:r w:rsidRPr="00FF71CE">
        <w:rPr>
          <w:rFonts w:ascii="Open Sans" w:hAnsi="Open Sans" w:cs="Open Sans"/>
        </w:rPr>
        <w:t>a lényeges ESG-témák rövid listája, amely a beszámolás és a stratégiaalkotás alapját képezi. Megjegyzés: a részletes pontozási és küszöbérték-módszertan szakmai támogatást igényel, ez a sa</w:t>
      </w:r>
      <w:r w:rsidRPr="00FF71CE">
        <w:rPr>
          <w:rFonts w:ascii="Open Sans" w:hAnsi="Open Sans" w:cs="Open Sans"/>
        </w:rPr>
        <w:t>blon csak a strukturális keretet rögzíti.</w:t>
      </w:r>
    </w:p>
    <w:p w14:paraId="38404581" w14:textId="77777777" w:rsidR="00E07C35" w:rsidRPr="00FF71CE" w:rsidRDefault="005B2781" w:rsidP="3BAE7B0F">
      <w:pPr>
        <w:pStyle w:val="Cmsor2"/>
        <w:rPr>
          <w:rFonts w:ascii="Open Sans" w:hAnsi="Open Sans" w:cs="Open Sans"/>
          <w:color w:val="196B24" w:themeColor="accent3"/>
        </w:rPr>
      </w:pPr>
      <w:r w:rsidRPr="00FF71CE">
        <w:rPr>
          <w:rFonts w:ascii="Open Sans" w:hAnsi="Open Sans" w:cs="Open Sans"/>
          <w:color w:val="196B24" w:themeColor="accent3"/>
        </w:rPr>
        <w:t>3.4. Kockázatelemzés</w:t>
      </w:r>
    </w:p>
    <w:p w14:paraId="14B7495F" w14:textId="77777777" w:rsidR="00E07C35" w:rsidRPr="00FF71CE" w:rsidRDefault="005B2781">
      <w:pPr>
        <w:spacing w:after="120"/>
        <w:jc w:val="both"/>
        <w:rPr>
          <w:rFonts w:ascii="Open Sans" w:hAnsi="Open Sans" w:cs="Open Sans"/>
        </w:rPr>
      </w:pPr>
      <w:r w:rsidRPr="00FF71CE">
        <w:rPr>
          <w:rFonts w:ascii="Open Sans" w:hAnsi="Open Sans" w:cs="Open Sans"/>
          <w:b/>
          <w:bCs/>
        </w:rPr>
        <w:t xml:space="preserve">Cél: </w:t>
      </w:r>
      <w:r w:rsidRPr="00FF71CE">
        <w:rPr>
          <w:rFonts w:ascii="Open Sans" w:hAnsi="Open Sans" w:cs="Open Sans"/>
        </w:rPr>
        <w:t>A vállalkozást érintő ESG-kockázatok (környezeti, társadalmi, irányítási) strukturált regiszterének felépítése. A sablon minden kockázathoz bekövetkezési valószínűséget (1–5) és hatás-súly</w:t>
      </w:r>
      <w:r w:rsidRPr="00FF71CE">
        <w:rPr>
          <w:rFonts w:ascii="Open Sans" w:hAnsi="Open Sans" w:cs="Open Sans"/>
        </w:rPr>
        <w:t>osságot (1–5) rendel, az összesített kockázati szint pedig automatikusan számolódik (valószínűség × hatás). A rendszer ezen túl rögzíti a megelőző és reagáló intézkedéseket, a felelőst és a határidőt.</w:t>
      </w:r>
    </w:p>
    <w:p w14:paraId="56867D61" w14:textId="77777777" w:rsidR="00E07C35" w:rsidRPr="00FF71CE" w:rsidRDefault="005B2781">
      <w:pPr>
        <w:spacing w:after="120"/>
        <w:jc w:val="both"/>
        <w:rPr>
          <w:rFonts w:ascii="Open Sans" w:hAnsi="Open Sans" w:cs="Open Sans"/>
        </w:rPr>
      </w:pPr>
      <w:r w:rsidRPr="00FF71CE">
        <w:rPr>
          <w:rFonts w:ascii="Open Sans" w:hAnsi="Open Sans" w:cs="Open Sans"/>
          <w:b/>
          <w:bCs/>
        </w:rPr>
        <w:t xml:space="preserve">Szükséges bemenetek: </w:t>
      </w:r>
      <w:r w:rsidRPr="00FF71CE">
        <w:rPr>
          <w:rFonts w:ascii="Open Sans" w:hAnsi="Open Sans" w:cs="Open Sans"/>
        </w:rPr>
        <w:t>a lényeges ESG-témák listája (a ke</w:t>
      </w:r>
      <w:r w:rsidRPr="00FF71CE">
        <w:rPr>
          <w:rFonts w:ascii="Open Sans" w:hAnsi="Open Sans" w:cs="Open Sans"/>
        </w:rPr>
        <w:t>ttős lényegességi elemzés kimenete), a GAP-analízisben azonosított hiányterületek, valamint a saját működés és értéklánc ismerete.</w:t>
      </w:r>
    </w:p>
    <w:p w14:paraId="0084D11A" w14:textId="77777777" w:rsidR="00E07C35" w:rsidRPr="00FF71CE" w:rsidRDefault="005B2781">
      <w:pPr>
        <w:spacing w:after="240"/>
        <w:jc w:val="both"/>
        <w:rPr>
          <w:rFonts w:ascii="Open Sans" w:hAnsi="Open Sans" w:cs="Open Sans"/>
        </w:rPr>
      </w:pPr>
      <w:r w:rsidRPr="00FF71CE">
        <w:rPr>
          <w:rFonts w:ascii="Open Sans" w:hAnsi="Open Sans" w:cs="Open Sans"/>
          <w:b/>
          <w:bCs/>
        </w:rPr>
        <w:t xml:space="preserve">Kimenet: </w:t>
      </w:r>
      <w:r w:rsidRPr="00FF71CE">
        <w:rPr>
          <w:rFonts w:ascii="Open Sans" w:hAnsi="Open Sans" w:cs="Open Sans"/>
        </w:rPr>
        <w:t>priorizált kockázati regiszter, amely közvetlen bemenete a célmeghatározásnak és a stratégiának.</w:t>
      </w:r>
    </w:p>
    <w:p w14:paraId="02568447" w14:textId="77777777" w:rsidR="00E07C35" w:rsidRPr="00FF71CE" w:rsidRDefault="005B2781" w:rsidP="3BAE7B0F">
      <w:pPr>
        <w:pStyle w:val="Cmsor2"/>
        <w:rPr>
          <w:rFonts w:ascii="Open Sans" w:hAnsi="Open Sans" w:cs="Open Sans"/>
          <w:color w:val="196B24" w:themeColor="accent3"/>
        </w:rPr>
      </w:pPr>
      <w:r w:rsidRPr="00FF71CE">
        <w:rPr>
          <w:rFonts w:ascii="Open Sans" w:hAnsi="Open Sans" w:cs="Open Sans"/>
          <w:color w:val="196B24" w:themeColor="accent3"/>
        </w:rPr>
        <w:t>3.5. Célmeghatározá</w:t>
      </w:r>
      <w:r w:rsidRPr="00FF71CE">
        <w:rPr>
          <w:rFonts w:ascii="Open Sans" w:hAnsi="Open Sans" w:cs="Open Sans"/>
          <w:color w:val="196B24" w:themeColor="accent3"/>
        </w:rPr>
        <w:t>s</w:t>
      </w:r>
    </w:p>
    <w:p w14:paraId="4C1D4341" w14:textId="77777777" w:rsidR="00E07C35" w:rsidRPr="00FF71CE" w:rsidRDefault="005B2781">
      <w:pPr>
        <w:spacing w:after="120"/>
        <w:jc w:val="both"/>
        <w:rPr>
          <w:rFonts w:ascii="Open Sans" w:hAnsi="Open Sans" w:cs="Open Sans"/>
        </w:rPr>
      </w:pPr>
      <w:r w:rsidRPr="00FF71CE">
        <w:rPr>
          <w:rFonts w:ascii="Open Sans" w:hAnsi="Open Sans" w:cs="Open Sans"/>
          <w:b/>
          <w:bCs/>
        </w:rPr>
        <w:t xml:space="preserve">Cél: </w:t>
      </w:r>
      <w:r w:rsidRPr="00FF71CE">
        <w:rPr>
          <w:rFonts w:ascii="Open Sans" w:hAnsi="Open Sans" w:cs="Open Sans"/>
        </w:rPr>
        <w:t>A lényeges ESG-témákhoz kapcsolódó, mérhető és időzített célok rögzítése SMART-logika szerint. A sablon három időhorizontot különít el (rövid, közép- és hosszú távú cél), és minden célhoz tartozik egy bázisérték, egy konkrét mutató (KPI), a mérés gy</w:t>
      </w:r>
      <w:r w:rsidRPr="00FF71CE">
        <w:rPr>
          <w:rFonts w:ascii="Open Sans" w:hAnsi="Open Sans" w:cs="Open Sans"/>
        </w:rPr>
        <w:t>akorisága és a felelős szervezet vagy személy.</w:t>
      </w:r>
    </w:p>
    <w:p w14:paraId="19A9E114" w14:textId="77777777" w:rsidR="00E07C35" w:rsidRPr="00FF71CE" w:rsidRDefault="005B2781">
      <w:pPr>
        <w:spacing w:after="120"/>
        <w:jc w:val="both"/>
        <w:rPr>
          <w:rFonts w:ascii="Open Sans" w:hAnsi="Open Sans" w:cs="Open Sans"/>
        </w:rPr>
      </w:pPr>
      <w:r w:rsidRPr="00FF71CE">
        <w:rPr>
          <w:rFonts w:ascii="Open Sans" w:hAnsi="Open Sans" w:cs="Open Sans"/>
          <w:b/>
          <w:bCs/>
        </w:rPr>
        <w:t xml:space="preserve">Szükséges bemenetek: </w:t>
      </w:r>
      <w:r w:rsidRPr="00FF71CE">
        <w:rPr>
          <w:rFonts w:ascii="Open Sans" w:hAnsi="Open Sans" w:cs="Open Sans"/>
        </w:rPr>
        <w:t>a kockázatelemzés és a GAP-analízis eredményei, a lényeges ESG-témák listája, valamint a vállalkozás által már gyűjtött fenntarthatósági adatok (bázisértékekhez).</w:t>
      </w:r>
    </w:p>
    <w:p w14:paraId="252C79EF" w14:textId="77777777" w:rsidR="00E07C35" w:rsidRPr="00FF71CE" w:rsidRDefault="005B2781">
      <w:pPr>
        <w:spacing w:after="240"/>
        <w:jc w:val="both"/>
        <w:rPr>
          <w:rFonts w:ascii="Open Sans" w:hAnsi="Open Sans" w:cs="Open Sans"/>
        </w:rPr>
      </w:pPr>
      <w:r w:rsidRPr="00FF71CE">
        <w:rPr>
          <w:rFonts w:ascii="Open Sans" w:hAnsi="Open Sans" w:cs="Open Sans"/>
          <w:b/>
          <w:bCs/>
        </w:rPr>
        <w:t xml:space="preserve">Kimenet: </w:t>
      </w:r>
      <w:r w:rsidRPr="00FF71CE">
        <w:rPr>
          <w:rFonts w:ascii="Open Sans" w:hAnsi="Open Sans" w:cs="Open Sans"/>
        </w:rPr>
        <w:t>konkrét, mérhető</w:t>
      </w:r>
      <w:r w:rsidRPr="00FF71CE">
        <w:rPr>
          <w:rFonts w:ascii="Open Sans" w:hAnsi="Open Sans" w:cs="Open Sans"/>
        </w:rPr>
        <w:t xml:space="preserve"> célrendszer, amely a stratégia alapja és egyben a nyomon követés kerete.</w:t>
      </w:r>
    </w:p>
    <w:p w14:paraId="364E8C1C" w14:textId="77777777" w:rsidR="00E07C35" w:rsidRPr="00FF71CE" w:rsidRDefault="005B2781" w:rsidP="3BAE7B0F">
      <w:pPr>
        <w:pStyle w:val="Cmsor2"/>
        <w:rPr>
          <w:rFonts w:ascii="Open Sans" w:hAnsi="Open Sans" w:cs="Open Sans"/>
          <w:color w:val="196B24" w:themeColor="accent3"/>
        </w:rPr>
      </w:pPr>
      <w:r w:rsidRPr="00FF71CE">
        <w:rPr>
          <w:rFonts w:ascii="Open Sans" w:hAnsi="Open Sans" w:cs="Open Sans"/>
          <w:color w:val="196B24" w:themeColor="accent3"/>
        </w:rPr>
        <w:t>3.6. Stratégia</w:t>
      </w:r>
    </w:p>
    <w:p w14:paraId="7E61D02E" w14:textId="77777777" w:rsidR="00E07C35" w:rsidRPr="00FF71CE" w:rsidRDefault="005B2781">
      <w:pPr>
        <w:spacing w:after="120"/>
        <w:jc w:val="both"/>
        <w:rPr>
          <w:rFonts w:ascii="Open Sans" w:hAnsi="Open Sans" w:cs="Open Sans"/>
        </w:rPr>
      </w:pPr>
      <w:r w:rsidRPr="00FF71CE">
        <w:rPr>
          <w:rFonts w:ascii="Open Sans" w:hAnsi="Open Sans" w:cs="Open Sans"/>
          <w:b/>
          <w:bCs/>
        </w:rPr>
        <w:t xml:space="preserve">Cél: </w:t>
      </w:r>
      <w:r w:rsidRPr="00FF71CE">
        <w:rPr>
          <w:rFonts w:ascii="Open Sans" w:hAnsi="Open Sans" w:cs="Open Sans"/>
        </w:rPr>
        <w:t xml:space="preserve">A célok eléréséhez szükséges cselekvések összefoglalása egy strukturált ESG-stratégiai keretben. A sablon minden stratégiai célhoz rögzíti a pillért (E/S/G), a </w:t>
      </w:r>
      <w:r w:rsidRPr="00FF71CE">
        <w:rPr>
          <w:rFonts w:ascii="Open Sans" w:hAnsi="Open Sans" w:cs="Open Sans"/>
        </w:rPr>
        <w:t>kulcsintézkedéseket, a kapcsolódó KPI-okat, az erőforrásigényt, a felelős szervezeti egységet és az éves mérföldköveket.</w:t>
      </w:r>
    </w:p>
    <w:p w14:paraId="097C75E4" w14:textId="77777777" w:rsidR="00E07C35" w:rsidRPr="00FF71CE" w:rsidRDefault="005B2781">
      <w:pPr>
        <w:spacing w:after="120"/>
        <w:jc w:val="both"/>
        <w:rPr>
          <w:rFonts w:ascii="Open Sans" w:hAnsi="Open Sans" w:cs="Open Sans"/>
        </w:rPr>
      </w:pPr>
      <w:r w:rsidRPr="00FF71CE">
        <w:rPr>
          <w:rFonts w:ascii="Open Sans" w:hAnsi="Open Sans" w:cs="Open Sans"/>
          <w:b/>
          <w:bCs/>
        </w:rPr>
        <w:t xml:space="preserve">Szükséges bemenetek: </w:t>
      </w:r>
      <w:r w:rsidRPr="00FF71CE">
        <w:rPr>
          <w:rFonts w:ascii="Open Sans" w:hAnsi="Open Sans" w:cs="Open Sans"/>
        </w:rPr>
        <w:t>a célmeghatározás eredménye, a kockázati regiszter, a vezetői döntések az erőforrás-allokációról, valamint a szerv</w:t>
      </w:r>
      <w:r w:rsidRPr="00FF71CE">
        <w:rPr>
          <w:rFonts w:ascii="Open Sans" w:hAnsi="Open Sans" w:cs="Open Sans"/>
        </w:rPr>
        <w:t>ezeti felelősségi rend.</w:t>
      </w:r>
    </w:p>
    <w:p w14:paraId="06C36501" w14:textId="77777777" w:rsidR="00E07C35" w:rsidRPr="00FF71CE" w:rsidRDefault="005B2781">
      <w:pPr>
        <w:spacing w:after="240"/>
        <w:jc w:val="both"/>
        <w:rPr>
          <w:rFonts w:ascii="Open Sans" w:hAnsi="Open Sans" w:cs="Open Sans"/>
        </w:rPr>
      </w:pPr>
      <w:r w:rsidRPr="00FF71CE">
        <w:rPr>
          <w:rFonts w:ascii="Open Sans" w:hAnsi="Open Sans" w:cs="Open Sans"/>
          <w:b/>
          <w:bCs/>
        </w:rPr>
        <w:lastRenderedPageBreak/>
        <w:t xml:space="preserve">Kimenet: </w:t>
      </w:r>
      <w:r w:rsidRPr="00FF71CE">
        <w:rPr>
          <w:rFonts w:ascii="Open Sans" w:hAnsi="Open Sans" w:cs="Open Sans"/>
        </w:rPr>
        <w:t>3–5 éves fenntarthatósági cselekvési terv, amely megalapozza a belső felelősségvállalási rendszert és a rendszeres ESG-beszámolást.</w:t>
      </w:r>
    </w:p>
    <w:p w14:paraId="11067B2F" w14:textId="77777777" w:rsidR="00E07C35" w:rsidRPr="00FF71CE" w:rsidRDefault="005B2781" w:rsidP="3BAE7B0F">
      <w:pPr>
        <w:pStyle w:val="Cmsor1"/>
        <w:rPr>
          <w:rFonts w:ascii="Open Sans" w:hAnsi="Open Sans" w:cs="Open Sans"/>
          <w:color w:val="196B24" w:themeColor="accent3"/>
        </w:rPr>
      </w:pPr>
      <w:r w:rsidRPr="00FF71CE">
        <w:rPr>
          <w:rFonts w:ascii="Open Sans" w:hAnsi="Open Sans" w:cs="Open Sans"/>
          <w:color w:val="196B24" w:themeColor="accent3"/>
        </w:rPr>
        <w:t>4. Használati javaslatok</w:t>
      </w:r>
    </w:p>
    <w:p w14:paraId="40B066CF" w14:textId="77777777" w:rsidR="00E07C35" w:rsidRPr="00FF71CE" w:rsidRDefault="005B2781">
      <w:pPr>
        <w:spacing w:after="120" w:line="300" w:lineRule="auto"/>
        <w:jc w:val="both"/>
        <w:rPr>
          <w:rFonts w:ascii="Open Sans" w:hAnsi="Open Sans" w:cs="Open Sans"/>
        </w:rPr>
      </w:pPr>
      <w:r w:rsidRPr="00FF71CE">
        <w:rPr>
          <w:rFonts w:ascii="Open Sans" w:hAnsi="Open Sans" w:cs="Open Sans"/>
        </w:rPr>
        <w:t>A sablonok önállóan, egyszerű Excel-ismerettel kitölthetők. Néhány</w:t>
      </w:r>
      <w:r w:rsidRPr="00FF71CE">
        <w:rPr>
          <w:rFonts w:ascii="Open Sans" w:hAnsi="Open Sans" w:cs="Open Sans"/>
        </w:rPr>
        <w:t xml:space="preserve"> gyakorlati szempont a hatékony használathoz:</w:t>
      </w:r>
    </w:p>
    <w:p w14:paraId="4A64D789" w14:textId="77777777" w:rsidR="00E07C35" w:rsidRPr="00FF71CE" w:rsidRDefault="005B2781">
      <w:pPr>
        <w:pStyle w:val="Listaszerbekezds"/>
        <w:numPr>
          <w:ilvl w:val="0"/>
          <w:numId w:val="2"/>
        </w:numPr>
        <w:spacing w:after="80"/>
        <w:rPr>
          <w:rFonts w:ascii="Open Sans" w:hAnsi="Open Sans" w:cs="Open Sans"/>
        </w:rPr>
      </w:pPr>
      <w:r w:rsidRPr="00FF71CE">
        <w:rPr>
          <w:rFonts w:ascii="Open Sans" w:hAnsi="Open Sans" w:cs="Open Sans"/>
        </w:rPr>
        <w:t>Az eszközöket a megadott sorrendben érdemes alkalmazni; a fájlnevek elején található sorszám (01–06) ezt jelöli.</w:t>
      </w:r>
    </w:p>
    <w:p w14:paraId="19AD6F6D" w14:textId="77777777" w:rsidR="00E07C35" w:rsidRPr="00FF71CE" w:rsidRDefault="005B2781">
      <w:pPr>
        <w:pStyle w:val="Listaszerbekezds"/>
        <w:numPr>
          <w:ilvl w:val="0"/>
          <w:numId w:val="2"/>
        </w:numPr>
        <w:spacing w:after="80"/>
        <w:rPr>
          <w:rFonts w:ascii="Open Sans" w:hAnsi="Open Sans" w:cs="Open Sans"/>
        </w:rPr>
      </w:pPr>
      <w:r w:rsidRPr="00FF71CE">
        <w:rPr>
          <w:rFonts w:ascii="Open Sans" w:hAnsi="Open Sans" w:cs="Open Sans"/>
        </w:rPr>
        <w:t xml:space="preserve">Minden sablon első munkalapja („Útmutató”) röviden ismerteti az adott eszköz célját, a szükséges </w:t>
      </w:r>
      <w:r w:rsidRPr="00FF71CE">
        <w:rPr>
          <w:rFonts w:ascii="Open Sans" w:hAnsi="Open Sans" w:cs="Open Sans"/>
        </w:rPr>
        <w:t>bemeneteket és a kitöltési logikát.</w:t>
      </w:r>
    </w:p>
    <w:p w14:paraId="2D98551B" w14:textId="77777777" w:rsidR="00E07C35" w:rsidRPr="00FF71CE" w:rsidRDefault="005B2781">
      <w:pPr>
        <w:pStyle w:val="Listaszerbekezds"/>
        <w:numPr>
          <w:ilvl w:val="0"/>
          <w:numId w:val="2"/>
        </w:numPr>
        <w:spacing w:after="80"/>
        <w:rPr>
          <w:rFonts w:ascii="Open Sans" w:hAnsi="Open Sans" w:cs="Open Sans"/>
        </w:rPr>
      </w:pPr>
      <w:r w:rsidRPr="00FF71CE">
        <w:rPr>
          <w:rFonts w:ascii="Open Sans" w:hAnsi="Open Sans" w:cs="Open Sans"/>
        </w:rPr>
        <w:t>A „Példa” munkalapon egy kitöltött mintasor segíti az értelmezést; érdemes először ezt áttekinteni.</w:t>
      </w:r>
    </w:p>
    <w:p w14:paraId="4805C29A" w14:textId="77777777" w:rsidR="00E07C35" w:rsidRPr="00FF71CE" w:rsidRDefault="005B2781">
      <w:pPr>
        <w:pStyle w:val="Listaszerbekezds"/>
        <w:numPr>
          <w:ilvl w:val="0"/>
          <w:numId w:val="2"/>
        </w:numPr>
        <w:spacing w:after="80"/>
        <w:rPr>
          <w:rFonts w:ascii="Open Sans" w:hAnsi="Open Sans" w:cs="Open Sans"/>
        </w:rPr>
      </w:pPr>
      <w:r w:rsidRPr="00FF71CE">
        <w:rPr>
          <w:rFonts w:ascii="Open Sans" w:hAnsi="Open Sans" w:cs="Open Sans"/>
        </w:rPr>
        <w:t>Az alapértelmezett 20 kitölthető sor a legtöbb KKV-indulópont számára elegendő; nagyobb méret szükség esetén további sor</w:t>
      </w:r>
      <w:r w:rsidRPr="00FF71CE">
        <w:rPr>
          <w:rFonts w:ascii="Open Sans" w:hAnsi="Open Sans" w:cs="Open Sans"/>
        </w:rPr>
        <w:t>ok másolással bővíthetők, de ez már nagyobb szervezeti érettséget feltételez.</w:t>
      </w:r>
    </w:p>
    <w:p w14:paraId="200766F6" w14:textId="77777777" w:rsidR="00E07C35" w:rsidRPr="00FF71CE" w:rsidRDefault="005B2781">
      <w:pPr>
        <w:pStyle w:val="Listaszerbekezds"/>
        <w:numPr>
          <w:ilvl w:val="0"/>
          <w:numId w:val="2"/>
        </w:numPr>
        <w:spacing w:after="80"/>
        <w:rPr>
          <w:rFonts w:ascii="Open Sans" w:hAnsi="Open Sans" w:cs="Open Sans"/>
        </w:rPr>
      </w:pPr>
      <w:r w:rsidRPr="00FF71CE">
        <w:rPr>
          <w:rFonts w:ascii="Open Sans" w:hAnsi="Open Sans" w:cs="Open Sans"/>
        </w:rPr>
        <w:t>A kitöltést érdemes vezetői szinten elindítani és szakmai felelősökkel közösen finomítani; az érintetti térképet és a kettős lényegességi elemzést nem célszerű egyetlen személyre</w:t>
      </w:r>
      <w:r w:rsidRPr="00FF71CE">
        <w:rPr>
          <w:rFonts w:ascii="Open Sans" w:hAnsi="Open Sans" w:cs="Open Sans"/>
        </w:rPr>
        <w:t xml:space="preserve"> bízni.</w:t>
      </w:r>
    </w:p>
    <w:p w14:paraId="5705BD1D" w14:textId="77777777" w:rsidR="00E07C35" w:rsidRPr="00FF71CE" w:rsidRDefault="005B2781" w:rsidP="1EA9F10B">
      <w:pPr>
        <w:pStyle w:val="Cmsor1"/>
        <w:rPr>
          <w:rFonts w:ascii="Open Sans" w:hAnsi="Open Sans" w:cs="Open Sans"/>
          <w:color w:val="196B24" w:themeColor="accent3"/>
        </w:rPr>
      </w:pPr>
      <w:r w:rsidRPr="00FF71CE">
        <w:rPr>
          <w:rFonts w:ascii="Open Sans" w:hAnsi="Open Sans" w:cs="Open Sans"/>
          <w:color w:val="196B24" w:themeColor="accent3"/>
        </w:rPr>
        <w:t>5. Mikor érdemes szakmai támogatást igénybe venni</w:t>
      </w:r>
    </w:p>
    <w:p w14:paraId="1234E1E5" w14:textId="77777777" w:rsidR="00E07C35" w:rsidRPr="00FF71CE" w:rsidRDefault="005B2781">
      <w:pPr>
        <w:spacing w:after="120" w:line="300" w:lineRule="auto"/>
        <w:jc w:val="both"/>
        <w:rPr>
          <w:rFonts w:ascii="Open Sans" w:hAnsi="Open Sans" w:cs="Open Sans"/>
        </w:rPr>
      </w:pPr>
      <w:r w:rsidRPr="00FF71CE">
        <w:rPr>
          <w:rFonts w:ascii="Open Sans" w:hAnsi="Open Sans" w:cs="Open Sans"/>
        </w:rPr>
        <w:t xml:space="preserve">Az eszköztár tudatosan általános keretet ad — célja az alapvető felkészülés és fogalmi tájékozódás támogatása. Az alábbi esetekben azonban a sablonok önmagukban nem elegendőek, és szakmai </w:t>
      </w:r>
      <w:r w:rsidRPr="00FF71CE">
        <w:rPr>
          <w:rFonts w:ascii="Open Sans" w:hAnsi="Open Sans" w:cs="Open Sans"/>
        </w:rPr>
        <w:t>konzultáció, illetve részletes módszertan bevonása javasolt:</w:t>
      </w:r>
    </w:p>
    <w:p w14:paraId="11CAD84C" w14:textId="77777777" w:rsidR="00E07C35" w:rsidRPr="00FF71CE" w:rsidRDefault="005B2781">
      <w:pPr>
        <w:pStyle w:val="Listaszerbekezds"/>
        <w:numPr>
          <w:ilvl w:val="0"/>
          <w:numId w:val="2"/>
        </w:numPr>
        <w:spacing w:after="80"/>
        <w:rPr>
          <w:rFonts w:ascii="Open Sans" w:hAnsi="Open Sans" w:cs="Open Sans"/>
        </w:rPr>
      </w:pPr>
      <w:r w:rsidRPr="00FF71CE">
        <w:rPr>
          <w:rFonts w:ascii="Open Sans" w:hAnsi="Open Sans" w:cs="Open Sans"/>
        </w:rPr>
        <w:t>Ha a vállalkozás az ESG törvény hatálya alá tartozik, és kötelező fenntarthatósági beszámolót készít (ekkor a SZTFH-kérdőív kitöltése és az EFRAG-ESRS adatpontokhoz való illesztés szükséges).</w:t>
      </w:r>
    </w:p>
    <w:p w14:paraId="2DD8A7BD" w14:textId="77777777" w:rsidR="00E07C35" w:rsidRPr="00FF71CE" w:rsidRDefault="005B2781">
      <w:pPr>
        <w:pStyle w:val="Listaszerbekezds"/>
        <w:numPr>
          <w:ilvl w:val="0"/>
          <w:numId w:val="2"/>
        </w:numPr>
        <w:spacing w:after="80"/>
        <w:rPr>
          <w:rFonts w:ascii="Open Sans" w:hAnsi="Open Sans" w:cs="Open Sans"/>
        </w:rPr>
      </w:pPr>
      <w:r w:rsidRPr="00FF71CE">
        <w:rPr>
          <w:rFonts w:ascii="Open Sans" w:hAnsi="Open Sans" w:cs="Open Sans"/>
        </w:rPr>
        <w:t xml:space="preserve">Ha </w:t>
      </w:r>
      <w:r w:rsidRPr="00FF71CE">
        <w:rPr>
          <w:rFonts w:ascii="Open Sans" w:hAnsi="Open Sans" w:cs="Open Sans"/>
        </w:rPr>
        <w:t>a kettős lényegességi elemzést számszerű küszöbértékekkel, súlyozással, érintetti egyeztetéssel kell elvégezni — ez meghaladja a sablon keretét.</w:t>
      </w:r>
    </w:p>
    <w:p w14:paraId="6BA7C61D" w14:textId="77777777" w:rsidR="00E07C35" w:rsidRPr="00FF71CE" w:rsidRDefault="005B2781">
      <w:pPr>
        <w:pStyle w:val="Listaszerbekezds"/>
        <w:numPr>
          <w:ilvl w:val="0"/>
          <w:numId w:val="2"/>
        </w:numPr>
        <w:spacing w:after="80"/>
        <w:rPr>
          <w:rFonts w:ascii="Open Sans" w:hAnsi="Open Sans" w:cs="Open Sans"/>
        </w:rPr>
      </w:pPr>
      <w:r w:rsidRPr="00FF71CE">
        <w:rPr>
          <w:rFonts w:ascii="Open Sans" w:hAnsi="Open Sans" w:cs="Open Sans"/>
        </w:rPr>
        <w:t>Ha a beszállítói átvilágítás (due diligence) kétszintű folyamatát kell felépíteni, ideértve a beszállítói kérdő</w:t>
      </w:r>
      <w:r w:rsidRPr="00FF71CE">
        <w:rPr>
          <w:rFonts w:ascii="Open Sans" w:hAnsi="Open Sans" w:cs="Open Sans"/>
        </w:rPr>
        <w:t>ívezést és a kockázatalapú kategorizálást.</w:t>
      </w:r>
    </w:p>
    <w:p w14:paraId="1E68392E" w14:textId="77777777" w:rsidR="00E07C35" w:rsidRPr="00FF71CE" w:rsidRDefault="005B2781">
      <w:pPr>
        <w:pStyle w:val="Listaszerbekezds"/>
        <w:numPr>
          <w:ilvl w:val="0"/>
          <w:numId w:val="2"/>
        </w:numPr>
        <w:spacing w:after="80"/>
        <w:rPr>
          <w:rFonts w:ascii="Open Sans" w:hAnsi="Open Sans" w:cs="Open Sans"/>
        </w:rPr>
      </w:pPr>
      <w:r w:rsidRPr="00FF71CE">
        <w:rPr>
          <w:rFonts w:ascii="Open Sans" w:hAnsi="Open Sans" w:cs="Open Sans"/>
        </w:rPr>
        <w:t>Ha a szervezetben belső felelősségvállalási rendszert, panaszkezelési rendszert vagy formális kockázatkezelési szabályzatot kell kialakítani a jogszabályi előírásoknak megfelelően.</w:t>
      </w:r>
    </w:p>
    <w:p w14:paraId="1F6649E4" w14:textId="77777777" w:rsidR="00E07C35" w:rsidRPr="00FF71CE" w:rsidRDefault="005B2781">
      <w:pPr>
        <w:pStyle w:val="Listaszerbekezds"/>
        <w:numPr>
          <w:ilvl w:val="0"/>
          <w:numId w:val="2"/>
        </w:numPr>
        <w:spacing w:after="80"/>
        <w:rPr>
          <w:rFonts w:ascii="Open Sans" w:hAnsi="Open Sans" w:cs="Open Sans"/>
        </w:rPr>
      </w:pPr>
      <w:r w:rsidRPr="00FF71CE">
        <w:rPr>
          <w:rFonts w:ascii="Open Sans" w:hAnsi="Open Sans" w:cs="Open Sans"/>
        </w:rPr>
        <w:t>Ha a gyűjtött adatok auditra alk</w:t>
      </w:r>
      <w:r w:rsidRPr="00FF71CE">
        <w:rPr>
          <w:rFonts w:ascii="Open Sans" w:hAnsi="Open Sans" w:cs="Open Sans"/>
        </w:rPr>
        <w:t>almas formában, dokumentált evidenciákkal kell rendelkezésre álljanak.</w:t>
      </w:r>
    </w:p>
    <w:p w14:paraId="2CEC749E" w14:textId="53607109" w:rsidR="00E07C35" w:rsidRPr="00FF71CE" w:rsidRDefault="005B2781" w:rsidP="00FF71CE">
      <w:pPr>
        <w:spacing w:after="120" w:line="300" w:lineRule="auto"/>
        <w:jc w:val="both"/>
        <w:rPr>
          <w:rFonts w:ascii="Open Sans" w:hAnsi="Open Sans" w:cs="Open Sans"/>
        </w:rPr>
      </w:pPr>
      <w:r w:rsidRPr="00FF71CE">
        <w:rPr>
          <w:rFonts w:ascii="Open Sans" w:hAnsi="Open Sans" w:cs="Open Sans"/>
        </w:rPr>
        <w:t>Ezekben az esetekben a sablonokból kinyert adatok és kimenetek értékes kiindulási alapot jelentenek egy részletes tanácsadási folyamathoz — a saját munka nem vész el, hanem beépül a mél</w:t>
      </w:r>
      <w:r w:rsidRPr="00FF71CE">
        <w:rPr>
          <w:rFonts w:ascii="Open Sans" w:hAnsi="Open Sans" w:cs="Open Sans"/>
        </w:rPr>
        <w:t>yebb elemzésbe.</w:t>
      </w:r>
      <w:bookmarkStart w:id="0" w:name="_GoBack"/>
      <w:bookmarkEnd w:id="0"/>
    </w:p>
    <w:sectPr w:rsidR="00E07C35" w:rsidRPr="00FF71CE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229C3F" w14:textId="77777777" w:rsidR="005B2781" w:rsidRDefault="005B2781">
      <w:r>
        <w:separator/>
      </w:r>
    </w:p>
  </w:endnote>
  <w:endnote w:type="continuationSeparator" w:id="0">
    <w:p w14:paraId="78614C95" w14:textId="77777777" w:rsidR="005B2781" w:rsidRDefault="005B2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P Gatwick"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8F4A0D" w14:textId="1CDD1AE7" w:rsidR="00E07C35" w:rsidRDefault="005B2781">
    <w:pPr>
      <w:jc w:val="center"/>
    </w:pPr>
    <w:r>
      <w:rPr>
        <w:color w:val="595959"/>
        <w:sz w:val="18"/>
        <w:szCs w:val="18"/>
      </w:rPr>
      <w:fldChar w:fldCharType="begin"/>
    </w:r>
    <w:r>
      <w:rPr>
        <w:color w:val="595959"/>
        <w:sz w:val="18"/>
        <w:szCs w:val="18"/>
      </w:rPr>
      <w:instrText>PAGE</w:instrText>
    </w:r>
    <w:r>
      <w:rPr>
        <w:color w:val="595959"/>
        <w:sz w:val="18"/>
        <w:szCs w:val="18"/>
      </w:rPr>
      <w:fldChar w:fldCharType="separate"/>
    </w:r>
    <w:r w:rsidR="00FF71CE">
      <w:rPr>
        <w:noProof/>
        <w:color w:val="595959"/>
        <w:sz w:val="18"/>
        <w:szCs w:val="18"/>
      </w:rPr>
      <w:t>1</w:t>
    </w:r>
    <w:r>
      <w:rPr>
        <w:color w:val="595959"/>
        <w:sz w:val="18"/>
        <w:szCs w:val="18"/>
      </w:rPr>
      <w:fldChar w:fldCharType="end"/>
    </w:r>
    <w:r>
      <w:rPr>
        <w:color w:val="595959"/>
        <w:sz w:val="18"/>
        <w:szCs w:val="18"/>
      </w:rPr>
      <w:t xml:space="preserve"> / </w:t>
    </w:r>
    <w:r>
      <w:rPr>
        <w:color w:val="595959"/>
        <w:sz w:val="18"/>
        <w:szCs w:val="18"/>
      </w:rPr>
      <w:fldChar w:fldCharType="begin"/>
    </w:r>
    <w:r>
      <w:rPr>
        <w:color w:val="595959"/>
        <w:sz w:val="18"/>
        <w:szCs w:val="18"/>
      </w:rPr>
      <w:instrText>NUMPAGES</w:instrText>
    </w:r>
    <w:r>
      <w:rPr>
        <w:color w:val="595959"/>
        <w:sz w:val="18"/>
        <w:szCs w:val="18"/>
      </w:rPr>
      <w:fldChar w:fldCharType="separate"/>
    </w:r>
    <w:r w:rsidR="00FF71CE">
      <w:rPr>
        <w:noProof/>
        <w:color w:val="595959"/>
        <w:sz w:val="18"/>
        <w:szCs w:val="18"/>
      </w:rPr>
      <w:t>4</w:t>
    </w:r>
    <w:r>
      <w:rPr>
        <w:color w:val="595959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CACCD" w14:textId="77777777" w:rsidR="005B2781" w:rsidRDefault="005B2781">
      <w:r>
        <w:separator/>
      </w:r>
    </w:p>
  </w:footnote>
  <w:footnote w:type="continuationSeparator" w:id="0">
    <w:p w14:paraId="47431359" w14:textId="77777777" w:rsidR="005B2781" w:rsidRDefault="005B27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803E4" w14:textId="77777777" w:rsidR="00E07C35" w:rsidRDefault="005B2781">
    <w:pPr>
      <w:jc w:val="right"/>
    </w:pPr>
    <w:r>
      <w:rPr>
        <w:i/>
        <w:iCs/>
        <w:color w:val="595959"/>
        <w:sz w:val="18"/>
        <w:szCs w:val="18"/>
      </w:rPr>
      <w:t>ESG Eszköztár – Útmutató KKV-k részére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DA3C95"/>
    <w:multiLevelType w:val="hybridMultilevel"/>
    <w:tmpl w:val="D1C61282"/>
    <w:lvl w:ilvl="0" w:tplc="7C6E2F5A">
      <w:start w:val="1"/>
      <w:numFmt w:val="bullet"/>
      <w:lvlText w:val="•"/>
      <w:lvlJc w:val="left"/>
      <w:pPr>
        <w:ind w:left="720" w:hanging="360"/>
      </w:pPr>
    </w:lvl>
    <w:lvl w:ilvl="1" w:tplc="FD0E9524">
      <w:numFmt w:val="decimal"/>
      <w:lvlText w:val=""/>
      <w:lvlJc w:val="left"/>
    </w:lvl>
    <w:lvl w:ilvl="2" w:tplc="F07C84CA">
      <w:numFmt w:val="decimal"/>
      <w:lvlText w:val=""/>
      <w:lvlJc w:val="left"/>
    </w:lvl>
    <w:lvl w:ilvl="3" w:tplc="A75282D2">
      <w:numFmt w:val="decimal"/>
      <w:lvlText w:val=""/>
      <w:lvlJc w:val="left"/>
    </w:lvl>
    <w:lvl w:ilvl="4" w:tplc="57560DB2">
      <w:numFmt w:val="decimal"/>
      <w:lvlText w:val=""/>
      <w:lvlJc w:val="left"/>
    </w:lvl>
    <w:lvl w:ilvl="5" w:tplc="E7F6768C">
      <w:numFmt w:val="decimal"/>
      <w:lvlText w:val=""/>
      <w:lvlJc w:val="left"/>
    </w:lvl>
    <w:lvl w:ilvl="6" w:tplc="711A4D94">
      <w:numFmt w:val="decimal"/>
      <w:lvlText w:val=""/>
      <w:lvlJc w:val="left"/>
    </w:lvl>
    <w:lvl w:ilvl="7" w:tplc="75EC5E34">
      <w:numFmt w:val="decimal"/>
      <w:lvlText w:val=""/>
      <w:lvlJc w:val="left"/>
    </w:lvl>
    <w:lvl w:ilvl="8" w:tplc="6F84A066">
      <w:numFmt w:val="decimal"/>
      <w:lvlText w:val=""/>
      <w:lvlJc w:val="left"/>
    </w:lvl>
  </w:abstractNum>
  <w:abstractNum w:abstractNumId="1" w15:restartNumberingAfterBreak="0">
    <w:nsid w:val="460D14E5"/>
    <w:multiLevelType w:val="hybridMultilevel"/>
    <w:tmpl w:val="EE223EB4"/>
    <w:lvl w:ilvl="0" w:tplc="0CA8CAD0">
      <w:start w:val="1"/>
      <w:numFmt w:val="bullet"/>
      <w:lvlText w:val="●"/>
      <w:lvlJc w:val="left"/>
      <w:pPr>
        <w:ind w:left="720" w:hanging="360"/>
      </w:pPr>
    </w:lvl>
    <w:lvl w:ilvl="1" w:tplc="30A0C0BA">
      <w:start w:val="1"/>
      <w:numFmt w:val="bullet"/>
      <w:lvlText w:val="○"/>
      <w:lvlJc w:val="left"/>
      <w:pPr>
        <w:ind w:left="1440" w:hanging="360"/>
      </w:pPr>
    </w:lvl>
    <w:lvl w:ilvl="2" w:tplc="2FD0B388">
      <w:start w:val="1"/>
      <w:numFmt w:val="bullet"/>
      <w:lvlText w:val="■"/>
      <w:lvlJc w:val="left"/>
      <w:pPr>
        <w:ind w:left="2160" w:hanging="360"/>
      </w:pPr>
    </w:lvl>
    <w:lvl w:ilvl="3" w:tplc="F7D8CDAC">
      <w:start w:val="1"/>
      <w:numFmt w:val="bullet"/>
      <w:lvlText w:val="●"/>
      <w:lvlJc w:val="left"/>
      <w:pPr>
        <w:ind w:left="2880" w:hanging="360"/>
      </w:pPr>
    </w:lvl>
    <w:lvl w:ilvl="4" w:tplc="D6FC04DA">
      <w:start w:val="1"/>
      <w:numFmt w:val="bullet"/>
      <w:lvlText w:val="○"/>
      <w:lvlJc w:val="left"/>
      <w:pPr>
        <w:ind w:left="3600" w:hanging="360"/>
      </w:pPr>
    </w:lvl>
    <w:lvl w:ilvl="5" w:tplc="99C249F2">
      <w:start w:val="1"/>
      <w:numFmt w:val="bullet"/>
      <w:lvlText w:val="■"/>
      <w:lvlJc w:val="left"/>
      <w:pPr>
        <w:ind w:left="4320" w:hanging="360"/>
      </w:pPr>
    </w:lvl>
    <w:lvl w:ilvl="6" w:tplc="3AB49DDA">
      <w:start w:val="1"/>
      <w:numFmt w:val="bullet"/>
      <w:lvlText w:val="●"/>
      <w:lvlJc w:val="left"/>
      <w:pPr>
        <w:ind w:left="5040" w:hanging="360"/>
      </w:pPr>
    </w:lvl>
    <w:lvl w:ilvl="7" w:tplc="2820B07E">
      <w:start w:val="1"/>
      <w:numFmt w:val="bullet"/>
      <w:lvlText w:val="●"/>
      <w:lvlJc w:val="left"/>
      <w:pPr>
        <w:ind w:left="5760" w:hanging="360"/>
      </w:pPr>
    </w:lvl>
    <w:lvl w:ilvl="8" w:tplc="483A378E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6386671E"/>
    <w:multiLevelType w:val="hybridMultilevel"/>
    <w:tmpl w:val="847C20EA"/>
    <w:lvl w:ilvl="0" w:tplc="09543708">
      <w:start w:val="1"/>
      <w:numFmt w:val="decimal"/>
      <w:lvlText w:val="%1."/>
      <w:lvlJc w:val="left"/>
      <w:pPr>
        <w:ind w:left="720" w:hanging="360"/>
      </w:pPr>
    </w:lvl>
    <w:lvl w:ilvl="1" w:tplc="7A00C780">
      <w:numFmt w:val="decimal"/>
      <w:lvlText w:val=""/>
      <w:lvlJc w:val="left"/>
    </w:lvl>
    <w:lvl w:ilvl="2" w:tplc="2D0455C8">
      <w:numFmt w:val="decimal"/>
      <w:lvlText w:val=""/>
      <w:lvlJc w:val="left"/>
    </w:lvl>
    <w:lvl w:ilvl="3" w:tplc="61A8EB96">
      <w:numFmt w:val="decimal"/>
      <w:lvlText w:val=""/>
      <w:lvlJc w:val="left"/>
    </w:lvl>
    <w:lvl w:ilvl="4" w:tplc="570E3E00">
      <w:numFmt w:val="decimal"/>
      <w:lvlText w:val=""/>
      <w:lvlJc w:val="left"/>
    </w:lvl>
    <w:lvl w:ilvl="5" w:tplc="DC92488A">
      <w:numFmt w:val="decimal"/>
      <w:lvlText w:val=""/>
      <w:lvlJc w:val="left"/>
    </w:lvl>
    <w:lvl w:ilvl="6" w:tplc="545A94BA">
      <w:numFmt w:val="decimal"/>
      <w:lvlText w:val=""/>
      <w:lvlJc w:val="left"/>
    </w:lvl>
    <w:lvl w:ilvl="7" w:tplc="06B6C3C2">
      <w:numFmt w:val="decimal"/>
      <w:lvlText w:val=""/>
      <w:lvlJc w:val="left"/>
    </w:lvl>
    <w:lvl w:ilvl="8" w:tplc="79BCC52C">
      <w:numFmt w:val="decimal"/>
      <w:lvlText w:val=""/>
      <w:lvlJc w:val="left"/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C35"/>
    <w:rsid w:val="005B2781"/>
    <w:rsid w:val="00844B35"/>
    <w:rsid w:val="00DE6537"/>
    <w:rsid w:val="00E07C35"/>
    <w:rsid w:val="00EB163B"/>
    <w:rsid w:val="00EB5F1C"/>
    <w:rsid w:val="00FF71CE"/>
    <w:rsid w:val="1EA9F10B"/>
    <w:rsid w:val="3BAE7B0F"/>
    <w:rsid w:val="78D4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5C728"/>
  <w15:docId w15:val="{4AF88F36-BAB0-4E99-8E2F-E75AA5060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uiPriority w:val="9"/>
    <w:qFormat/>
    <w:pPr>
      <w:spacing w:before="360" w:after="200"/>
      <w:outlineLvl w:val="0"/>
    </w:pPr>
    <w:rPr>
      <w:b/>
      <w:bCs/>
      <w:color w:val="1F3864"/>
      <w:sz w:val="32"/>
      <w:szCs w:val="32"/>
    </w:rPr>
  </w:style>
  <w:style w:type="paragraph" w:styleId="Cmsor2">
    <w:name w:val="heading 2"/>
    <w:uiPriority w:val="9"/>
    <w:unhideWhenUsed/>
    <w:qFormat/>
    <w:pPr>
      <w:spacing w:before="240" w:after="120"/>
      <w:outlineLvl w:val="1"/>
    </w:pPr>
    <w:rPr>
      <w:b/>
      <w:bCs/>
      <w:color w:val="2E75B6"/>
      <w:sz w:val="26"/>
      <w:szCs w:val="26"/>
    </w:rPr>
  </w:style>
  <w:style w:type="paragraph" w:styleId="Cmsor3">
    <w:name w:val="heading 3"/>
    <w:uiPriority w:val="9"/>
    <w:semiHidden/>
    <w:unhideWhenUsed/>
    <w:qFormat/>
    <w:pPr>
      <w:spacing w:before="180" w:after="80"/>
      <w:outlineLvl w:val="2"/>
    </w:pPr>
    <w:rPr>
      <w:b/>
      <w:bCs/>
      <w:color w:val="1F3864"/>
    </w:rPr>
  </w:style>
  <w:style w:type="paragraph" w:styleId="Cmsor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Cmsor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Cmsor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aszerbekezds">
    <w:name w:val="List Paragraph"/>
    <w:qFormat/>
  </w:style>
  <w:style w:type="character" w:styleId="Hiperhivatkozs">
    <w:name w:val="Hyperlink"/>
    <w:uiPriority w:val="99"/>
    <w:unhideWhenUsed/>
    <w:rPr>
      <w:color w:val="0563C1"/>
      <w:u w:val="single"/>
    </w:rPr>
  </w:style>
  <w:style w:type="character" w:styleId="Lbjegyzet-hivatkozs">
    <w:name w:val="footnote reference"/>
    <w:uiPriority w:val="99"/>
    <w:semiHidden/>
    <w:unhideWhenUsed/>
    <w:rPr>
      <w:vertAlign w:val="superscript"/>
    </w:rPr>
  </w:style>
  <w:style w:type="paragraph" w:styleId="Lbjegyzetszveg">
    <w:name w:val="footnote text"/>
    <w:link w:val="LbjegyzetszvegChar"/>
    <w:uiPriority w:val="99"/>
    <w:semiHidden/>
    <w:unhideWhenUsed/>
    <w:rPr>
      <w:sz w:val="20"/>
      <w:szCs w:val="20"/>
    </w:rPr>
  </w:style>
  <w:style w:type="character" w:customStyle="1" w:styleId="LbjegyzetszvegChar">
    <w:name w:val="Lábjegyzetszöveg Char"/>
    <w:link w:val="Lbjegyzetszveg"/>
    <w:uiPriority w:val="99"/>
    <w:semiHidden/>
    <w:unhideWhenUsed/>
    <w:rPr>
      <w:sz w:val="20"/>
      <w:szCs w:val="20"/>
    </w:rPr>
  </w:style>
  <w:style w:type="character" w:styleId="Vgjegyzet-hivatkozs">
    <w:name w:val="endnote reference"/>
    <w:uiPriority w:val="99"/>
    <w:semiHidden/>
    <w:unhideWhenUsed/>
    <w:rPr>
      <w:vertAlign w:val="superscript"/>
    </w:rPr>
  </w:style>
  <w:style w:type="paragraph" w:styleId="Vgjegyzetszvege">
    <w:name w:val="endnote text"/>
    <w:link w:val="VgjegyzetszvegeChar"/>
    <w:uiPriority w:val="99"/>
    <w:semiHidden/>
    <w:unhideWhenUsed/>
    <w:rPr>
      <w:sz w:val="20"/>
      <w:szCs w:val="20"/>
    </w:rPr>
  </w:style>
  <w:style w:type="character" w:customStyle="1" w:styleId="VgjegyzetszvegeChar">
    <w:name w:val="Végjegyzet szövege Char"/>
    <w:link w:val="Vgjegyzetszvege"/>
    <w:uiPriority w:val="99"/>
    <w:semiHidden/>
    <w:unhideWhenUsed/>
    <w:rPr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FF71C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F71CE"/>
  </w:style>
  <w:style w:type="paragraph" w:styleId="llb">
    <w:name w:val="footer"/>
    <w:basedOn w:val="Norml"/>
    <w:link w:val="llbChar"/>
    <w:uiPriority w:val="99"/>
    <w:unhideWhenUsed/>
    <w:rsid w:val="00FF71C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F71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48DD92568E5546BB8D00EA26CB6EA7" ma:contentTypeVersion="12" ma:contentTypeDescription="Create a new document." ma:contentTypeScope="" ma:versionID="54920368bd3e305d8ff490c0440a9883">
  <xsd:schema xmlns:xsd="http://www.w3.org/2001/XMLSchema" xmlns:xs="http://www.w3.org/2001/XMLSchema" xmlns:p="http://schemas.microsoft.com/office/2006/metadata/properties" xmlns:ns2="88703385-bdf9-48ca-9b87-b6790c294cd0" xmlns:ns3="eddcc1d4-d1cf-450e-b2e3-485ccb5fab2d" targetNamespace="http://schemas.microsoft.com/office/2006/metadata/properties" ma:root="true" ma:fieldsID="5135d3af7bbc8286c1ad0b5bf6dddee0" ns2:_="" ns3:_="">
    <xsd:import namespace="88703385-bdf9-48ca-9b87-b6790c294cd0"/>
    <xsd:import namespace="eddcc1d4-d1cf-450e-b2e3-485ccb5fab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03385-bdf9-48ca-9b87-b6790c294c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f65dbe0-c01c-4ddf-84ec-9937ca6742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cc1d4-d1cf-450e-b2e3-485ccb5fab2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25abfe2-c6a4-4c32-9add-af3b532631dd}" ma:internalName="TaxCatchAll" ma:showField="CatchAllData" ma:web="eddcc1d4-d1cf-450e-b2e3-485ccb5fab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703385-bdf9-48ca-9b87-b6790c294cd0">
      <Terms xmlns="http://schemas.microsoft.com/office/infopath/2007/PartnerControls"/>
    </lcf76f155ced4ddcb4097134ff3c332f>
    <TaxCatchAll xmlns="eddcc1d4-d1cf-450e-b2e3-485ccb5fab2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822D7C-B631-48A8-BF4F-E7C146A646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703385-bdf9-48ca-9b87-b6790c294cd0"/>
    <ds:schemaRef ds:uri="eddcc1d4-d1cf-450e-b2e3-485ccb5fab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51FB68-1589-4C29-969D-478A4D1390C3}">
  <ds:schemaRefs>
    <ds:schemaRef ds:uri="http://schemas.microsoft.com/office/2006/metadata/properties"/>
    <ds:schemaRef ds:uri="http://schemas.microsoft.com/office/infopath/2007/PartnerControls"/>
    <ds:schemaRef ds:uri="88703385-bdf9-48ca-9b87-b6790c294cd0"/>
    <ds:schemaRef ds:uri="eddcc1d4-d1cf-450e-b2e3-485ccb5fab2d"/>
  </ds:schemaRefs>
</ds:datastoreItem>
</file>

<file path=customXml/itemProps3.xml><?xml version="1.0" encoding="utf-8"?>
<ds:datastoreItem xmlns:ds="http://schemas.openxmlformats.org/officeDocument/2006/customXml" ds:itemID="{E1868607-2980-4133-BF7E-C0DC049909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1138</Words>
  <Characters>7853</Characters>
  <Application>Microsoft Office Word</Application>
  <DocSecurity>0</DocSecurity>
  <Lines>65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ESG Eszköztár – Útmutató KKV-k részére</vt:lpstr>
    </vt:vector>
  </TitlesOfParts>
  <Company/>
  <LinksUpToDate>false</LinksUpToDate>
  <CharactersWithSpaces>8974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ESG Eszköztár – Útmutató KKV-k részére</dc:title>
  <dc:creator>ESG tanácsadói csapat</dc:creator>
  <cp:lastModifiedBy>Sebestyén Dorottya</cp:lastModifiedBy>
  <cp:revision>2</cp:revision>
  <dcterms:created xsi:type="dcterms:W3CDTF">2026-04-24T13:39:00Z</dcterms:created>
  <dcterms:modified xsi:type="dcterms:W3CDTF">2026-04-24T13:39:00Z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35477876-a4e9-4460-af8c-7609f1689930</vt:lpwstr>
  </property>
  <property fmtid="{D5CDD505-2E9C-101B-9397-08002B2CF9AE}" pid="3" name="ContentTypeId">
    <vt:lpwstr>0x0101007A48DD92568E5546BB8D00EA26CB6EA7</vt:lpwstr>
  </property>
  <property fmtid="{D5CDD505-2E9C-101B-9397-08002B2CF9AE}" pid="4" name="MediaServiceImageTags">
    <vt:lpwstr/>
  </property>
</Properties>
</file>